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42E44" w14:textId="77777777" w:rsidR="00AD67C4" w:rsidRPr="00894EE3" w:rsidRDefault="00330BFF" w:rsidP="001A1A50">
      <w:pPr>
        <w:tabs>
          <w:tab w:val="left" w:pos="2772"/>
          <w:tab w:val="left" w:pos="7198"/>
        </w:tabs>
        <w:spacing w:line="360" w:lineRule="auto"/>
        <w:ind w:left="257" w:firstLine="709"/>
        <w:jc w:val="both"/>
        <w:rPr>
          <w:sz w:val="24"/>
          <w:szCs w:val="24"/>
        </w:rPr>
      </w:pPr>
      <w:r w:rsidRPr="00894EE3">
        <w:rPr>
          <w:noProof/>
          <w:position w:val="6"/>
          <w:sz w:val="24"/>
          <w:szCs w:val="24"/>
        </w:rPr>
        <w:drawing>
          <wp:inline distT="0" distB="0" distL="0" distR="0" wp14:anchorId="2925263C" wp14:editId="1138A44A">
            <wp:extent cx="1343015" cy="59435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343015" cy="594359"/>
                    </a:xfrm>
                    <a:prstGeom prst="rect">
                      <a:avLst/>
                    </a:prstGeom>
                  </pic:spPr>
                </pic:pic>
              </a:graphicData>
            </a:graphic>
          </wp:inline>
        </w:drawing>
      </w:r>
      <w:r w:rsidRPr="00894EE3">
        <w:rPr>
          <w:position w:val="6"/>
          <w:sz w:val="24"/>
          <w:szCs w:val="24"/>
        </w:rPr>
        <w:tab/>
      </w:r>
      <w:r w:rsidRPr="00894EE3">
        <w:rPr>
          <w:noProof/>
          <w:sz w:val="24"/>
          <w:szCs w:val="24"/>
        </w:rPr>
        <w:drawing>
          <wp:inline distT="0" distB="0" distL="0" distR="0" wp14:anchorId="45037237" wp14:editId="30417ED3">
            <wp:extent cx="2366545" cy="6080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2366545" cy="608076"/>
                    </a:xfrm>
                    <a:prstGeom prst="rect">
                      <a:avLst/>
                    </a:prstGeom>
                  </pic:spPr>
                </pic:pic>
              </a:graphicData>
            </a:graphic>
          </wp:inline>
        </w:drawing>
      </w:r>
      <w:r w:rsidRPr="00894EE3">
        <w:rPr>
          <w:sz w:val="24"/>
          <w:szCs w:val="24"/>
        </w:rPr>
        <w:tab/>
      </w:r>
      <w:r w:rsidRPr="00894EE3">
        <w:rPr>
          <w:noProof/>
          <w:sz w:val="24"/>
          <w:szCs w:val="24"/>
        </w:rPr>
        <w:drawing>
          <wp:inline distT="0" distB="0" distL="0" distR="0" wp14:anchorId="5BAB2C22" wp14:editId="50C8F921">
            <wp:extent cx="682465" cy="594359"/>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682465" cy="594359"/>
                    </a:xfrm>
                    <a:prstGeom prst="rect">
                      <a:avLst/>
                    </a:prstGeom>
                  </pic:spPr>
                </pic:pic>
              </a:graphicData>
            </a:graphic>
          </wp:inline>
        </w:drawing>
      </w:r>
    </w:p>
    <w:p w14:paraId="30FFC809" w14:textId="77777777" w:rsidR="00AD67C4" w:rsidRPr="00894EE3" w:rsidRDefault="00330BFF" w:rsidP="001A1A50">
      <w:pPr>
        <w:pStyle w:val="Titolo"/>
        <w:spacing w:before="0" w:line="360" w:lineRule="auto"/>
        <w:ind w:firstLine="709"/>
        <w:jc w:val="both"/>
        <w:rPr>
          <w:sz w:val="24"/>
          <w:szCs w:val="24"/>
        </w:rPr>
      </w:pPr>
      <w:r w:rsidRPr="00894EE3">
        <w:rPr>
          <w:sz w:val="24"/>
          <w:szCs w:val="24"/>
        </w:rPr>
        <w:t>STORIE</w:t>
      </w:r>
      <w:r w:rsidRPr="00894EE3">
        <w:rPr>
          <w:spacing w:val="-2"/>
          <w:sz w:val="24"/>
          <w:szCs w:val="24"/>
        </w:rPr>
        <w:t xml:space="preserve"> </w:t>
      </w:r>
      <w:r w:rsidRPr="00894EE3">
        <w:rPr>
          <w:sz w:val="24"/>
          <w:szCs w:val="24"/>
        </w:rPr>
        <w:t>IN CORSO</w:t>
      </w:r>
      <w:r w:rsidRPr="00894EE3">
        <w:rPr>
          <w:spacing w:val="-1"/>
          <w:sz w:val="24"/>
          <w:szCs w:val="24"/>
        </w:rPr>
        <w:t xml:space="preserve"> </w:t>
      </w:r>
      <w:r w:rsidRPr="00894EE3">
        <w:rPr>
          <w:spacing w:val="-4"/>
          <w:sz w:val="24"/>
          <w:szCs w:val="24"/>
        </w:rPr>
        <w:t>2025</w:t>
      </w:r>
    </w:p>
    <w:p w14:paraId="5FA9D93C" w14:textId="77777777" w:rsidR="00AD67C4" w:rsidRPr="00894EE3" w:rsidRDefault="00330BFF" w:rsidP="001A1A50">
      <w:pPr>
        <w:spacing w:line="360" w:lineRule="auto"/>
        <w:ind w:left="140" w:right="9" w:firstLine="709"/>
        <w:jc w:val="both"/>
        <w:rPr>
          <w:b/>
          <w:sz w:val="24"/>
          <w:szCs w:val="24"/>
        </w:rPr>
      </w:pPr>
      <w:r w:rsidRPr="00894EE3">
        <w:rPr>
          <w:b/>
          <w:sz w:val="24"/>
          <w:szCs w:val="24"/>
        </w:rPr>
        <w:t>XIX</w:t>
      </w:r>
      <w:r w:rsidRPr="00894EE3">
        <w:rPr>
          <w:b/>
          <w:spacing w:val="-11"/>
          <w:sz w:val="24"/>
          <w:szCs w:val="24"/>
        </w:rPr>
        <w:t xml:space="preserve"> </w:t>
      </w:r>
      <w:r w:rsidRPr="00894EE3">
        <w:rPr>
          <w:b/>
          <w:sz w:val="24"/>
          <w:szCs w:val="24"/>
        </w:rPr>
        <w:t>WORKSHOP</w:t>
      </w:r>
      <w:r w:rsidRPr="00894EE3">
        <w:rPr>
          <w:b/>
          <w:spacing w:val="-5"/>
          <w:sz w:val="24"/>
          <w:szCs w:val="24"/>
        </w:rPr>
        <w:t xml:space="preserve"> </w:t>
      </w:r>
      <w:r w:rsidRPr="00894EE3">
        <w:rPr>
          <w:b/>
          <w:sz w:val="24"/>
          <w:szCs w:val="24"/>
        </w:rPr>
        <w:t>NAZIONALE</w:t>
      </w:r>
      <w:r w:rsidRPr="00894EE3">
        <w:rPr>
          <w:b/>
          <w:spacing w:val="-3"/>
          <w:sz w:val="24"/>
          <w:szCs w:val="24"/>
        </w:rPr>
        <w:t xml:space="preserve"> </w:t>
      </w:r>
      <w:r w:rsidRPr="00894EE3">
        <w:rPr>
          <w:b/>
          <w:sz w:val="24"/>
          <w:szCs w:val="24"/>
        </w:rPr>
        <w:t>DOTTORANDE/I</w:t>
      </w:r>
      <w:r w:rsidRPr="00894EE3">
        <w:rPr>
          <w:b/>
          <w:spacing w:val="-8"/>
          <w:sz w:val="24"/>
          <w:szCs w:val="24"/>
        </w:rPr>
        <w:t xml:space="preserve"> </w:t>
      </w:r>
      <w:r w:rsidRPr="00894EE3">
        <w:rPr>
          <w:b/>
          <w:spacing w:val="-2"/>
          <w:sz w:val="24"/>
          <w:szCs w:val="24"/>
        </w:rPr>
        <w:t>SISSCO</w:t>
      </w:r>
    </w:p>
    <w:p w14:paraId="11FFB614" w14:textId="77777777" w:rsidR="00AD67C4" w:rsidRPr="00894EE3" w:rsidRDefault="00AD67C4" w:rsidP="001A1A50">
      <w:pPr>
        <w:pStyle w:val="Corpotesto"/>
        <w:spacing w:line="360" w:lineRule="auto"/>
        <w:ind w:firstLine="709"/>
        <w:jc w:val="both"/>
        <w:rPr>
          <w:b/>
          <w:sz w:val="24"/>
          <w:szCs w:val="24"/>
        </w:rPr>
      </w:pPr>
    </w:p>
    <w:p w14:paraId="19F8EA98" w14:textId="4585DD86" w:rsidR="00AD67C4" w:rsidRPr="00894EE3" w:rsidRDefault="00330BFF" w:rsidP="001A1A50">
      <w:pPr>
        <w:spacing w:line="360" w:lineRule="auto"/>
        <w:ind w:left="140" w:right="4" w:firstLine="709"/>
        <w:jc w:val="both"/>
        <w:rPr>
          <w:sz w:val="24"/>
          <w:szCs w:val="24"/>
        </w:rPr>
      </w:pPr>
      <w:r w:rsidRPr="00894EE3">
        <w:rPr>
          <w:color w:val="2E5395"/>
          <w:sz w:val="24"/>
          <w:szCs w:val="24"/>
        </w:rPr>
        <w:t>[</w:t>
      </w:r>
      <w:r w:rsidR="0046643F" w:rsidRPr="00894EE3">
        <w:rPr>
          <w:i/>
          <w:iCs/>
          <w:color w:val="2E5395"/>
          <w:sz w:val="24"/>
          <w:szCs w:val="24"/>
        </w:rPr>
        <w:t>Solidarność: percezione internazionale e realtà nazionale. 1980-1989</w:t>
      </w:r>
      <w:r w:rsidRPr="00894EE3">
        <w:rPr>
          <w:color w:val="2E5395"/>
          <w:spacing w:val="-4"/>
          <w:sz w:val="24"/>
          <w:szCs w:val="24"/>
        </w:rPr>
        <w:t>]</w:t>
      </w:r>
    </w:p>
    <w:p w14:paraId="551335A1" w14:textId="262E4367" w:rsidR="00DB5FE3" w:rsidRDefault="00330BFF" w:rsidP="001A1A50">
      <w:pPr>
        <w:spacing w:line="360" w:lineRule="auto"/>
        <w:ind w:left="140" w:right="27" w:firstLine="709"/>
        <w:jc w:val="both"/>
        <w:rPr>
          <w:b/>
          <w:bCs/>
          <w:sz w:val="24"/>
          <w:szCs w:val="24"/>
          <w:highlight w:val="yellow"/>
        </w:rPr>
      </w:pPr>
      <w:r w:rsidRPr="00894EE3">
        <w:rPr>
          <w:color w:val="5A5A5A"/>
          <w:spacing w:val="12"/>
          <w:sz w:val="24"/>
          <w:szCs w:val="24"/>
        </w:rPr>
        <w:t>[</w:t>
      </w:r>
      <w:r w:rsidR="006E5E2D" w:rsidRPr="00894EE3">
        <w:rPr>
          <w:color w:val="5A5A5A"/>
          <w:spacing w:val="12"/>
          <w:sz w:val="24"/>
          <w:szCs w:val="24"/>
        </w:rPr>
        <w:t>Maddalena</w:t>
      </w:r>
      <w:r w:rsidRPr="00894EE3">
        <w:rPr>
          <w:color w:val="5A5A5A"/>
          <w:spacing w:val="12"/>
          <w:sz w:val="24"/>
          <w:szCs w:val="24"/>
        </w:rPr>
        <w:t>,</w:t>
      </w:r>
      <w:r w:rsidRPr="00894EE3">
        <w:rPr>
          <w:color w:val="5A5A5A"/>
          <w:spacing w:val="29"/>
          <w:sz w:val="24"/>
          <w:szCs w:val="24"/>
        </w:rPr>
        <w:t xml:space="preserve"> </w:t>
      </w:r>
      <w:r w:rsidR="006E5E2D" w:rsidRPr="00894EE3">
        <w:rPr>
          <w:color w:val="5A5A5A"/>
          <w:spacing w:val="12"/>
          <w:sz w:val="24"/>
          <w:szCs w:val="24"/>
        </w:rPr>
        <w:t>Valacchi</w:t>
      </w:r>
      <w:r w:rsidRPr="00894EE3">
        <w:rPr>
          <w:color w:val="5A5A5A"/>
          <w:spacing w:val="30"/>
          <w:sz w:val="24"/>
          <w:szCs w:val="24"/>
        </w:rPr>
        <w:t xml:space="preserve"> </w:t>
      </w:r>
      <w:r w:rsidRPr="00894EE3">
        <w:rPr>
          <w:color w:val="5A5A5A"/>
          <w:sz w:val="24"/>
          <w:szCs w:val="24"/>
        </w:rPr>
        <w:t>–</w:t>
      </w:r>
      <w:r w:rsidRPr="00894EE3">
        <w:rPr>
          <w:color w:val="5A5A5A"/>
          <w:spacing w:val="31"/>
          <w:sz w:val="24"/>
          <w:szCs w:val="24"/>
        </w:rPr>
        <w:t xml:space="preserve"> </w:t>
      </w:r>
      <w:r w:rsidR="006E5E2D" w:rsidRPr="00894EE3">
        <w:rPr>
          <w:color w:val="5A5A5A"/>
          <w:spacing w:val="12"/>
          <w:sz w:val="24"/>
          <w:szCs w:val="24"/>
        </w:rPr>
        <w:t>Università di Trento</w:t>
      </w:r>
      <w:r w:rsidR="009119FA">
        <w:rPr>
          <w:color w:val="5A5A5A"/>
          <w:spacing w:val="12"/>
          <w:sz w:val="24"/>
          <w:szCs w:val="24"/>
        </w:rPr>
        <w:t>]</w:t>
      </w:r>
    </w:p>
    <w:p w14:paraId="4C1C182B" w14:textId="77777777" w:rsidR="00526772" w:rsidRPr="008D7E17" w:rsidRDefault="00526772" w:rsidP="001A1A50">
      <w:pPr>
        <w:pStyle w:val="Corpotesto"/>
        <w:spacing w:line="360" w:lineRule="auto"/>
        <w:jc w:val="both"/>
        <w:rPr>
          <w:b/>
          <w:bCs/>
          <w:sz w:val="24"/>
          <w:szCs w:val="24"/>
        </w:rPr>
      </w:pPr>
    </w:p>
    <w:p w14:paraId="17E2654C" w14:textId="6CD7FAB1" w:rsidR="003D52D2" w:rsidRPr="004039CF" w:rsidRDefault="00894EE3" w:rsidP="001A1A50">
      <w:pPr>
        <w:pStyle w:val="Corpotesto"/>
        <w:spacing w:line="360" w:lineRule="auto"/>
        <w:jc w:val="both"/>
        <w:rPr>
          <w:b/>
          <w:bCs/>
          <w:sz w:val="24"/>
          <w:szCs w:val="24"/>
          <w:lang w:val="en-GB"/>
        </w:rPr>
      </w:pPr>
      <w:proofErr w:type="spellStart"/>
      <w:r w:rsidRPr="004039CF">
        <w:rPr>
          <w:b/>
          <w:bCs/>
          <w:sz w:val="24"/>
          <w:szCs w:val="24"/>
          <w:lang w:val="en-GB"/>
        </w:rPr>
        <w:t>I</w:t>
      </w:r>
      <w:r w:rsidR="00DB5FE3" w:rsidRPr="004039CF">
        <w:rPr>
          <w:b/>
          <w:bCs/>
          <w:sz w:val="24"/>
          <w:szCs w:val="24"/>
          <w:lang w:val="en-GB"/>
        </w:rPr>
        <w:t>ntroduzione</w:t>
      </w:r>
      <w:proofErr w:type="spellEnd"/>
    </w:p>
    <w:p w14:paraId="7E637C12" w14:textId="40C45834" w:rsidR="003D52D2" w:rsidRDefault="003D52D2" w:rsidP="001A1A50">
      <w:pPr>
        <w:spacing w:line="360" w:lineRule="auto"/>
        <w:ind w:firstLine="709"/>
        <w:jc w:val="center"/>
        <w:rPr>
          <w:sz w:val="20"/>
          <w:szCs w:val="20"/>
          <w:lang w:val="en-GB"/>
        </w:rPr>
      </w:pPr>
      <w:r w:rsidRPr="00E35C30">
        <w:rPr>
          <w:sz w:val="20"/>
          <w:szCs w:val="20"/>
          <w:lang w:val="en-GB"/>
        </w:rPr>
        <w:t>The historic Gdansk Shipyard was the birthplace of ‘Solidarity’-social movement and trade union-that united citizens in peaceful fight for freedom and human rights. This place is crucial to the origins</w:t>
      </w:r>
      <w:r w:rsidR="00894EE3" w:rsidRPr="00E35C30">
        <w:rPr>
          <w:sz w:val="20"/>
          <w:szCs w:val="20"/>
          <w:lang w:val="en-GB"/>
        </w:rPr>
        <w:t xml:space="preserve"> </w:t>
      </w:r>
      <w:r w:rsidRPr="00E35C30">
        <w:rPr>
          <w:sz w:val="20"/>
          <w:szCs w:val="20"/>
          <w:lang w:val="en-GB"/>
        </w:rPr>
        <w:t>of democratic transformations in Europe. It features on the European Union’s list of European Heritage sites because of the significant role it had played in the history and culture of Europe</w:t>
      </w:r>
      <w:r w:rsidR="00D2555F">
        <w:rPr>
          <w:sz w:val="20"/>
          <w:szCs w:val="20"/>
          <w:lang w:val="en-GB"/>
        </w:rPr>
        <w:t>.</w:t>
      </w:r>
      <w:r w:rsidRPr="00894EE3">
        <w:rPr>
          <w:rStyle w:val="Rimandonotaapidipagina"/>
          <w:sz w:val="24"/>
          <w:szCs w:val="24"/>
          <w:lang w:val="en-GB"/>
        </w:rPr>
        <w:footnoteReference w:id="1"/>
      </w:r>
    </w:p>
    <w:p w14:paraId="76FF5C2D" w14:textId="77777777" w:rsidR="00D2555F" w:rsidRPr="00D2555F" w:rsidRDefault="00D2555F" w:rsidP="001A1A50">
      <w:pPr>
        <w:spacing w:line="360" w:lineRule="auto"/>
        <w:ind w:firstLine="709"/>
        <w:jc w:val="center"/>
        <w:rPr>
          <w:sz w:val="20"/>
          <w:szCs w:val="20"/>
          <w:lang w:val="en-GB"/>
        </w:rPr>
      </w:pPr>
    </w:p>
    <w:p w14:paraId="12951820" w14:textId="088B63D5" w:rsidR="003D52D2" w:rsidRPr="00894EE3" w:rsidRDefault="003D52D2" w:rsidP="001A1A50">
      <w:pPr>
        <w:spacing w:line="360" w:lineRule="auto"/>
        <w:ind w:firstLine="709"/>
        <w:jc w:val="both"/>
        <w:rPr>
          <w:sz w:val="24"/>
          <w:szCs w:val="24"/>
        </w:rPr>
      </w:pPr>
      <w:r w:rsidRPr="00894EE3">
        <w:rPr>
          <w:sz w:val="24"/>
          <w:szCs w:val="24"/>
        </w:rPr>
        <w:t xml:space="preserve">Attraversando i cancelli dello storico cantiere navale di Danzica si viene accolti oggi da una targa dell’Unione Europea </w:t>
      </w:r>
      <w:r w:rsidRPr="004039CF">
        <w:rPr>
          <w:sz w:val="24"/>
          <w:szCs w:val="24"/>
        </w:rPr>
        <w:t xml:space="preserve">che </w:t>
      </w:r>
      <w:r w:rsidR="00696AFD">
        <w:rPr>
          <w:sz w:val="24"/>
          <w:szCs w:val="24"/>
        </w:rPr>
        <w:t>celebra</w:t>
      </w:r>
      <w:r w:rsidRPr="004039CF">
        <w:rPr>
          <w:sz w:val="24"/>
          <w:szCs w:val="24"/>
        </w:rPr>
        <w:t xml:space="preserve"> </w:t>
      </w:r>
      <w:r w:rsidR="00972C34">
        <w:rPr>
          <w:sz w:val="24"/>
          <w:szCs w:val="24"/>
        </w:rPr>
        <w:t xml:space="preserve">Solidarność </w:t>
      </w:r>
      <w:r w:rsidRPr="004039CF">
        <w:rPr>
          <w:sz w:val="24"/>
          <w:szCs w:val="24"/>
        </w:rPr>
        <w:t>per il ruolo avuto nelle trasformazioni democratiche</w:t>
      </w:r>
      <w:r w:rsidR="00696AFD">
        <w:rPr>
          <w:sz w:val="24"/>
          <w:szCs w:val="24"/>
        </w:rPr>
        <w:t xml:space="preserve"> </w:t>
      </w:r>
      <w:r w:rsidR="002E37ED">
        <w:rPr>
          <w:sz w:val="24"/>
          <w:szCs w:val="24"/>
        </w:rPr>
        <w:t>del</w:t>
      </w:r>
      <w:r w:rsidR="00696AFD">
        <w:rPr>
          <w:sz w:val="24"/>
          <w:szCs w:val="24"/>
        </w:rPr>
        <w:t>l’Europa centro orientale dopo il 1989</w:t>
      </w:r>
      <w:r w:rsidRPr="004039CF">
        <w:rPr>
          <w:sz w:val="24"/>
          <w:szCs w:val="24"/>
        </w:rPr>
        <w:t>, e per l’importanza che ha ricoperto</w:t>
      </w:r>
      <w:r w:rsidRPr="00894EE3">
        <w:rPr>
          <w:sz w:val="24"/>
          <w:szCs w:val="24"/>
        </w:rPr>
        <w:t xml:space="preserve"> per la storia e </w:t>
      </w:r>
      <w:r w:rsidR="00F10C76">
        <w:rPr>
          <w:sz w:val="24"/>
          <w:szCs w:val="24"/>
        </w:rPr>
        <w:t xml:space="preserve">la </w:t>
      </w:r>
      <w:r w:rsidRPr="00894EE3">
        <w:rPr>
          <w:sz w:val="24"/>
          <w:szCs w:val="24"/>
        </w:rPr>
        <w:t>cultura europea.</w:t>
      </w:r>
      <w:r w:rsidR="00972C34">
        <w:rPr>
          <w:sz w:val="24"/>
          <w:szCs w:val="24"/>
        </w:rPr>
        <w:t xml:space="preserve"> </w:t>
      </w:r>
      <w:r w:rsidR="00696AFD">
        <w:rPr>
          <w:sz w:val="24"/>
          <w:szCs w:val="24"/>
        </w:rPr>
        <w:t xml:space="preserve">Eppure, dietro a questo trionfalismo si nasconde un’attitudine politica – delle istituzioni europee e degli Stati – ben più cauta e meno entusiasta, soprattutto se comparata  </w:t>
      </w:r>
      <w:r w:rsidRPr="00894EE3">
        <w:rPr>
          <w:sz w:val="24"/>
          <w:szCs w:val="24"/>
        </w:rPr>
        <w:t>con l’accoglienza che riservarono a</w:t>
      </w:r>
      <w:r w:rsidR="00696AFD">
        <w:rPr>
          <w:sz w:val="24"/>
          <w:szCs w:val="24"/>
        </w:rPr>
        <w:t xml:space="preserve"> </w:t>
      </w:r>
      <w:r w:rsidR="00124DC6">
        <w:rPr>
          <w:sz w:val="24"/>
          <w:szCs w:val="24"/>
        </w:rPr>
        <w:t>Solidarność</w:t>
      </w:r>
      <w:r w:rsidR="00696AFD">
        <w:rPr>
          <w:sz w:val="24"/>
          <w:szCs w:val="24"/>
        </w:rPr>
        <w:t xml:space="preserve"> </w:t>
      </w:r>
      <w:r w:rsidR="00EC6935">
        <w:rPr>
          <w:sz w:val="24"/>
          <w:szCs w:val="24"/>
        </w:rPr>
        <w:t>l’</w:t>
      </w:r>
      <w:r w:rsidRPr="00894EE3">
        <w:rPr>
          <w:sz w:val="24"/>
          <w:szCs w:val="24"/>
        </w:rPr>
        <w:t>opinione pubblica e</w:t>
      </w:r>
      <w:r w:rsidR="00EC6935">
        <w:rPr>
          <w:sz w:val="24"/>
          <w:szCs w:val="24"/>
        </w:rPr>
        <w:t xml:space="preserve"> i</w:t>
      </w:r>
      <w:r w:rsidRPr="00894EE3">
        <w:rPr>
          <w:sz w:val="24"/>
          <w:szCs w:val="24"/>
        </w:rPr>
        <w:t xml:space="preserve"> sindacati europei.</w:t>
      </w:r>
    </w:p>
    <w:p w14:paraId="45463357" w14:textId="13CF37E9" w:rsidR="00896433" w:rsidRPr="0072277F" w:rsidRDefault="00F10C76" w:rsidP="001A1A50">
      <w:pPr>
        <w:spacing w:line="360" w:lineRule="auto"/>
        <w:ind w:firstLine="709"/>
        <w:jc w:val="both"/>
        <w:rPr>
          <w:sz w:val="24"/>
          <w:szCs w:val="24"/>
        </w:rPr>
      </w:pPr>
      <w:r>
        <w:rPr>
          <w:sz w:val="24"/>
          <w:szCs w:val="24"/>
        </w:rPr>
        <w:t>Anche alla luce di queste considerazioni i</w:t>
      </w:r>
      <w:r w:rsidR="00EC6935">
        <w:rPr>
          <w:sz w:val="24"/>
          <w:szCs w:val="24"/>
        </w:rPr>
        <w:t xml:space="preserve">l </w:t>
      </w:r>
      <w:r w:rsidR="003D52D2" w:rsidRPr="00894EE3">
        <w:rPr>
          <w:sz w:val="24"/>
          <w:szCs w:val="24"/>
        </w:rPr>
        <w:t>progetto di tesi</w:t>
      </w:r>
      <w:r w:rsidR="00894EE3" w:rsidRPr="00894EE3">
        <w:rPr>
          <w:sz w:val="24"/>
          <w:szCs w:val="24"/>
        </w:rPr>
        <w:t xml:space="preserve"> è </w:t>
      </w:r>
      <w:r w:rsidR="003D52D2" w:rsidRPr="00894EE3">
        <w:rPr>
          <w:sz w:val="24"/>
          <w:szCs w:val="24"/>
        </w:rPr>
        <w:t xml:space="preserve">partito dallo studio della storia di </w:t>
      </w:r>
      <w:r w:rsidR="00972C34">
        <w:rPr>
          <w:sz w:val="24"/>
          <w:szCs w:val="24"/>
        </w:rPr>
        <w:t xml:space="preserve">Solidarność </w:t>
      </w:r>
      <w:r w:rsidR="00894EE3" w:rsidRPr="00894EE3">
        <w:rPr>
          <w:sz w:val="24"/>
          <w:szCs w:val="24"/>
        </w:rPr>
        <w:t xml:space="preserve">e dei </w:t>
      </w:r>
      <w:r w:rsidR="003D52D2" w:rsidRPr="00894EE3">
        <w:rPr>
          <w:sz w:val="24"/>
          <w:szCs w:val="24"/>
        </w:rPr>
        <w:t>rapporti che il movimento polacco ha sviluppato con l’</w:t>
      </w:r>
      <w:r w:rsidR="00696AFD">
        <w:rPr>
          <w:sz w:val="24"/>
          <w:szCs w:val="24"/>
        </w:rPr>
        <w:t xml:space="preserve">Europa occidentale che, per lo meno negli studi disponibili, è </w:t>
      </w:r>
      <w:r w:rsidR="00DB02DD" w:rsidRPr="00894EE3">
        <w:rPr>
          <w:sz w:val="24"/>
          <w:szCs w:val="24"/>
        </w:rPr>
        <w:t>rimast</w:t>
      </w:r>
      <w:r w:rsidR="00696AFD">
        <w:rPr>
          <w:sz w:val="24"/>
          <w:szCs w:val="24"/>
        </w:rPr>
        <w:t>a</w:t>
      </w:r>
      <w:r w:rsidR="00DB02DD" w:rsidRPr="00894EE3">
        <w:rPr>
          <w:sz w:val="24"/>
          <w:szCs w:val="24"/>
        </w:rPr>
        <w:t xml:space="preserve"> spesso all’ombra degli </w:t>
      </w:r>
      <w:r w:rsidR="00B1425B">
        <w:rPr>
          <w:sz w:val="24"/>
          <w:szCs w:val="24"/>
        </w:rPr>
        <w:t>S</w:t>
      </w:r>
      <w:r w:rsidR="00DB02DD" w:rsidRPr="00894EE3">
        <w:rPr>
          <w:sz w:val="24"/>
          <w:szCs w:val="24"/>
        </w:rPr>
        <w:t xml:space="preserve">tati </w:t>
      </w:r>
      <w:r w:rsidR="00B1425B">
        <w:rPr>
          <w:sz w:val="24"/>
          <w:szCs w:val="24"/>
        </w:rPr>
        <w:t>U</w:t>
      </w:r>
      <w:r w:rsidR="00DB02DD" w:rsidRPr="00894EE3">
        <w:rPr>
          <w:sz w:val="24"/>
          <w:szCs w:val="24"/>
        </w:rPr>
        <w:t>niti</w:t>
      </w:r>
      <w:r w:rsidR="00696AFD">
        <w:rPr>
          <w:sz w:val="24"/>
          <w:szCs w:val="24"/>
        </w:rPr>
        <w:t>. Nello specifico, la tesi prende in esame l</w:t>
      </w:r>
      <w:r w:rsidR="00355056" w:rsidRPr="00894EE3">
        <w:rPr>
          <w:sz w:val="24"/>
          <w:szCs w:val="24"/>
        </w:rPr>
        <w:t>a comunità europea</w:t>
      </w:r>
      <w:r w:rsidR="00696AFD">
        <w:rPr>
          <w:sz w:val="24"/>
          <w:szCs w:val="24"/>
        </w:rPr>
        <w:t>,</w:t>
      </w:r>
      <w:r w:rsidR="001876A5">
        <w:rPr>
          <w:sz w:val="24"/>
          <w:szCs w:val="24"/>
        </w:rPr>
        <w:t xml:space="preserve"> </w:t>
      </w:r>
      <w:r w:rsidRPr="0072277F">
        <w:rPr>
          <w:sz w:val="24"/>
          <w:szCs w:val="24"/>
        </w:rPr>
        <w:t>valutata</w:t>
      </w:r>
      <w:r w:rsidR="001876A5" w:rsidRPr="0072277F">
        <w:rPr>
          <w:sz w:val="24"/>
          <w:szCs w:val="24"/>
        </w:rPr>
        <w:t xml:space="preserve"> come</w:t>
      </w:r>
      <w:r w:rsidR="00355056" w:rsidRPr="0072277F">
        <w:rPr>
          <w:sz w:val="24"/>
          <w:szCs w:val="24"/>
        </w:rPr>
        <w:t xml:space="preserve"> </w:t>
      </w:r>
      <w:r w:rsidR="00F65719">
        <w:rPr>
          <w:sz w:val="24"/>
          <w:szCs w:val="24"/>
        </w:rPr>
        <w:t xml:space="preserve">sia come </w:t>
      </w:r>
      <w:r w:rsidR="00355056" w:rsidRPr="0072277F">
        <w:rPr>
          <w:sz w:val="24"/>
          <w:szCs w:val="24"/>
        </w:rPr>
        <w:t>entità collettiva</w:t>
      </w:r>
      <w:r w:rsidR="00F65719">
        <w:rPr>
          <w:sz w:val="24"/>
          <w:szCs w:val="24"/>
        </w:rPr>
        <w:t xml:space="preserve">, sia nell’atteggiamento dei “quattro grandi” </w:t>
      </w:r>
      <w:r w:rsidR="00355056" w:rsidRPr="0072277F">
        <w:rPr>
          <w:sz w:val="24"/>
          <w:szCs w:val="24"/>
        </w:rPr>
        <w:t xml:space="preserve">Francia, Germania, Regno Unito e, in maniera inedita, Italia. </w:t>
      </w:r>
      <w:r w:rsidR="00AC2F55" w:rsidRPr="0072277F">
        <w:rPr>
          <w:sz w:val="24"/>
          <w:szCs w:val="24"/>
        </w:rPr>
        <w:t xml:space="preserve">All’interno della </w:t>
      </w:r>
      <w:r w:rsidRPr="0072277F">
        <w:rPr>
          <w:sz w:val="24"/>
          <w:szCs w:val="24"/>
        </w:rPr>
        <w:t>galassia</w:t>
      </w:r>
      <w:r w:rsidR="00AC2F55" w:rsidRPr="0072277F">
        <w:rPr>
          <w:sz w:val="24"/>
          <w:szCs w:val="24"/>
        </w:rPr>
        <w:t xml:space="preserve"> europea</w:t>
      </w:r>
      <w:r w:rsidR="007E596C" w:rsidRPr="0072277F">
        <w:rPr>
          <w:sz w:val="24"/>
          <w:szCs w:val="24"/>
        </w:rPr>
        <w:t xml:space="preserve"> </w:t>
      </w:r>
      <w:r w:rsidR="00896433">
        <w:rPr>
          <w:sz w:val="24"/>
          <w:szCs w:val="24"/>
        </w:rPr>
        <w:t xml:space="preserve">poi </w:t>
      </w:r>
      <w:r w:rsidR="001876A5" w:rsidRPr="0072277F">
        <w:rPr>
          <w:sz w:val="24"/>
          <w:szCs w:val="24"/>
        </w:rPr>
        <w:t>un’</w:t>
      </w:r>
      <w:r w:rsidR="009D5B56" w:rsidRPr="0072277F">
        <w:rPr>
          <w:sz w:val="24"/>
          <w:szCs w:val="24"/>
        </w:rPr>
        <w:t>ulteriore</w:t>
      </w:r>
      <w:r w:rsidR="001876A5" w:rsidRPr="0072277F">
        <w:rPr>
          <w:sz w:val="24"/>
          <w:szCs w:val="24"/>
        </w:rPr>
        <w:t xml:space="preserve"> distinzione </w:t>
      </w:r>
      <w:r w:rsidR="008B5CA1" w:rsidRPr="0072277F">
        <w:rPr>
          <w:sz w:val="24"/>
          <w:szCs w:val="24"/>
        </w:rPr>
        <w:t>è stata fatta fra</w:t>
      </w:r>
      <w:r w:rsidR="00AC2F55" w:rsidRPr="0072277F">
        <w:rPr>
          <w:sz w:val="24"/>
          <w:szCs w:val="24"/>
        </w:rPr>
        <w:t xml:space="preserve"> </w:t>
      </w:r>
      <w:r w:rsidR="008B5CA1" w:rsidRPr="0072277F">
        <w:rPr>
          <w:sz w:val="24"/>
          <w:szCs w:val="24"/>
        </w:rPr>
        <w:t>i</w:t>
      </w:r>
      <w:r w:rsidR="003D52D2" w:rsidRPr="0072277F">
        <w:rPr>
          <w:sz w:val="24"/>
          <w:szCs w:val="24"/>
        </w:rPr>
        <w:t xml:space="preserve"> diversi soggetti interlocutori di </w:t>
      </w:r>
      <w:r w:rsidR="00AC2F55" w:rsidRPr="0072277F">
        <w:rPr>
          <w:sz w:val="24"/>
          <w:szCs w:val="24"/>
        </w:rPr>
        <w:t>Solidarność</w:t>
      </w:r>
      <w:r w:rsidR="003D52D2" w:rsidRPr="0072277F">
        <w:rPr>
          <w:sz w:val="24"/>
          <w:szCs w:val="24"/>
        </w:rPr>
        <w:t xml:space="preserve">, </w:t>
      </w:r>
      <w:r w:rsidRPr="0072277F">
        <w:rPr>
          <w:sz w:val="24"/>
          <w:szCs w:val="24"/>
        </w:rPr>
        <w:t xml:space="preserve">distinguendo </w:t>
      </w:r>
      <w:r w:rsidR="00F65719">
        <w:rPr>
          <w:sz w:val="24"/>
          <w:szCs w:val="24"/>
        </w:rPr>
        <w:t>fra</w:t>
      </w:r>
      <w:r w:rsidR="00FC3911" w:rsidRPr="0072277F">
        <w:rPr>
          <w:sz w:val="24"/>
          <w:szCs w:val="24"/>
        </w:rPr>
        <w:t xml:space="preserve"> </w:t>
      </w:r>
      <w:r w:rsidR="003D52D2" w:rsidRPr="0072277F">
        <w:rPr>
          <w:sz w:val="24"/>
          <w:szCs w:val="24"/>
        </w:rPr>
        <w:t>società civile e governi.</w:t>
      </w:r>
      <w:r w:rsidR="00EC2669" w:rsidRPr="00894EE3">
        <w:rPr>
          <w:sz w:val="24"/>
          <w:szCs w:val="24"/>
        </w:rPr>
        <w:t xml:space="preserve"> </w:t>
      </w:r>
      <w:r w:rsidR="00896433" w:rsidRPr="002E37ED">
        <w:rPr>
          <w:sz w:val="24"/>
          <w:szCs w:val="24"/>
        </w:rPr>
        <w:t>L’</w:t>
      </w:r>
      <w:r w:rsidR="00896433">
        <w:rPr>
          <w:sz w:val="24"/>
          <w:szCs w:val="24"/>
        </w:rPr>
        <w:t>analisi</w:t>
      </w:r>
      <w:r w:rsidR="00896433" w:rsidRPr="002E37ED">
        <w:rPr>
          <w:sz w:val="24"/>
          <w:szCs w:val="24"/>
        </w:rPr>
        <w:t>, basat</w:t>
      </w:r>
      <w:r w:rsidR="00896433">
        <w:rPr>
          <w:sz w:val="24"/>
          <w:szCs w:val="24"/>
        </w:rPr>
        <w:t>a</w:t>
      </w:r>
      <w:r w:rsidR="00896433" w:rsidRPr="002E37ED">
        <w:rPr>
          <w:sz w:val="24"/>
          <w:szCs w:val="24"/>
        </w:rPr>
        <w:t xml:space="preserve"> su fonti d’archivio polacche, europee e italiane, ha rivelato </w:t>
      </w:r>
      <w:r w:rsidR="00896433">
        <w:rPr>
          <w:sz w:val="24"/>
          <w:szCs w:val="24"/>
        </w:rPr>
        <w:t xml:space="preserve">infatti </w:t>
      </w:r>
      <w:r w:rsidR="00896433" w:rsidRPr="002E37ED">
        <w:rPr>
          <w:sz w:val="24"/>
          <w:szCs w:val="24"/>
        </w:rPr>
        <w:t>una marcata differenza tra la risposta dei sindacati occidentali e quella dei governi dopo l’agosto 1980.</w:t>
      </w:r>
      <w:r w:rsidR="00896433">
        <w:rPr>
          <w:sz w:val="24"/>
          <w:szCs w:val="24"/>
        </w:rPr>
        <w:t xml:space="preserve"> </w:t>
      </w:r>
      <w:r w:rsidR="00896433" w:rsidRPr="00894EE3">
        <w:rPr>
          <w:sz w:val="24"/>
          <w:szCs w:val="24"/>
        </w:rPr>
        <w:t>Mentre i sindacati, indipendentemente dal</w:t>
      </w:r>
      <w:r w:rsidR="00896433">
        <w:rPr>
          <w:sz w:val="24"/>
          <w:szCs w:val="24"/>
        </w:rPr>
        <w:t xml:space="preserve">l’orientamento </w:t>
      </w:r>
      <w:r w:rsidR="00896433" w:rsidRPr="00894EE3">
        <w:rPr>
          <w:sz w:val="24"/>
          <w:szCs w:val="24"/>
        </w:rPr>
        <w:t>politico</w:t>
      </w:r>
      <w:r w:rsidR="00896433">
        <w:rPr>
          <w:sz w:val="24"/>
          <w:szCs w:val="24"/>
        </w:rPr>
        <w:t>,</w:t>
      </w:r>
      <w:r w:rsidR="00896433" w:rsidRPr="00894EE3">
        <w:rPr>
          <w:sz w:val="24"/>
          <w:szCs w:val="24"/>
        </w:rPr>
        <w:t xml:space="preserve"> </w:t>
      </w:r>
      <w:r w:rsidR="00896433" w:rsidRPr="009966E6">
        <w:rPr>
          <w:sz w:val="24"/>
          <w:szCs w:val="24"/>
        </w:rPr>
        <w:t xml:space="preserve">offrirono ampio sostegno a Solidarność, i governi europei mantennero un atteggiamento più </w:t>
      </w:r>
      <w:r w:rsidR="00896433" w:rsidRPr="009966E6">
        <w:rPr>
          <w:sz w:val="24"/>
          <w:szCs w:val="24"/>
        </w:rPr>
        <w:lastRenderedPageBreak/>
        <w:t>cauto.</w:t>
      </w:r>
      <w:r w:rsidR="00896433">
        <w:rPr>
          <w:sz w:val="24"/>
          <w:szCs w:val="24"/>
        </w:rPr>
        <w:t xml:space="preserve"> Questi ultimi, attenti a preservare la loro</w:t>
      </w:r>
      <w:r w:rsidR="00896433" w:rsidRPr="00355056">
        <w:rPr>
          <w:sz w:val="24"/>
          <w:szCs w:val="24"/>
        </w:rPr>
        <w:t xml:space="preserve"> distensione</w:t>
      </w:r>
      <w:r w:rsidR="00896433">
        <w:rPr>
          <w:sz w:val="24"/>
          <w:szCs w:val="24"/>
        </w:rPr>
        <w:t xml:space="preserve"> con l’Europa centro orientale e con l’URSS</w:t>
      </w:r>
      <w:r w:rsidR="00896433" w:rsidRPr="00355056">
        <w:rPr>
          <w:sz w:val="24"/>
          <w:szCs w:val="24"/>
        </w:rPr>
        <w:t xml:space="preserve">, cercarono di contenere l’entusiasmo dei lavoratori </w:t>
      </w:r>
      <w:r w:rsidR="00896433" w:rsidRPr="0072277F">
        <w:rPr>
          <w:sz w:val="24"/>
          <w:szCs w:val="24"/>
        </w:rPr>
        <w:t>polacchi e di preservare i rapporti economici con il governo di Varsavia.</w:t>
      </w:r>
    </w:p>
    <w:p w14:paraId="2BFE254B" w14:textId="0B422456" w:rsidR="00896433" w:rsidRPr="00894EE3" w:rsidRDefault="00896433" w:rsidP="001A1A50">
      <w:pPr>
        <w:spacing w:line="360" w:lineRule="auto"/>
        <w:ind w:firstLine="709"/>
        <w:jc w:val="both"/>
        <w:rPr>
          <w:sz w:val="24"/>
          <w:szCs w:val="24"/>
        </w:rPr>
      </w:pPr>
      <w:r>
        <w:rPr>
          <w:sz w:val="24"/>
          <w:szCs w:val="24"/>
        </w:rPr>
        <w:t xml:space="preserve">La distinzione fra piano sindacale e governativo, oltre ad emergere dalle stesse fonti, riprende anche l’evoluzione ed i cambiamenti che </w:t>
      </w:r>
      <w:r w:rsidRPr="0072277F">
        <w:rPr>
          <w:sz w:val="24"/>
          <w:szCs w:val="24"/>
        </w:rPr>
        <w:t>Solidarność</w:t>
      </w:r>
      <w:r>
        <w:rPr>
          <w:sz w:val="24"/>
          <w:szCs w:val="24"/>
        </w:rPr>
        <w:t xml:space="preserve"> </w:t>
      </w:r>
      <w:r w:rsidR="0051716A">
        <w:rPr>
          <w:sz w:val="24"/>
          <w:szCs w:val="24"/>
        </w:rPr>
        <w:t>affrontò</w:t>
      </w:r>
      <w:r>
        <w:rPr>
          <w:sz w:val="24"/>
          <w:szCs w:val="24"/>
        </w:rPr>
        <w:t xml:space="preserve"> durante il periodo preso in esame, 1980-1989. </w:t>
      </w:r>
      <w:r w:rsidR="0051716A">
        <w:rPr>
          <w:sz w:val="24"/>
          <w:szCs w:val="24"/>
        </w:rPr>
        <w:t>Il movimento polacco, n</w:t>
      </w:r>
      <w:r w:rsidR="00094669" w:rsidRPr="00094669">
        <w:rPr>
          <w:sz w:val="24"/>
          <w:szCs w:val="24"/>
        </w:rPr>
        <w:t xml:space="preserve">ato come </w:t>
      </w:r>
      <w:r w:rsidR="0051716A">
        <w:rPr>
          <w:sz w:val="24"/>
          <w:szCs w:val="24"/>
        </w:rPr>
        <w:t>sindacato</w:t>
      </w:r>
      <w:r w:rsidR="00094669" w:rsidRPr="00094669">
        <w:rPr>
          <w:sz w:val="24"/>
          <w:szCs w:val="24"/>
        </w:rPr>
        <w:t xml:space="preserve"> a Danzica, si è rapidamente esteso a tutta la classe lavoratrice polacca, fino ad assumere, nella seconda metà del 1981, una rilevanza politica più ampia</w:t>
      </w:r>
      <w:r w:rsidR="001A4D54">
        <w:rPr>
          <w:sz w:val="24"/>
          <w:szCs w:val="24"/>
        </w:rPr>
        <w:t xml:space="preserve">. </w:t>
      </w:r>
      <w:r w:rsidR="00343893">
        <w:rPr>
          <w:sz w:val="24"/>
          <w:szCs w:val="24"/>
        </w:rPr>
        <w:t xml:space="preserve">Sebbene </w:t>
      </w:r>
      <w:r w:rsidR="0051716A" w:rsidRPr="0072277F">
        <w:rPr>
          <w:sz w:val="24"/>
          <w:szCs w:val="24"/>
        </w:rPr>
        <w:t>Solidarność</w:t>
      </w:r>
      <w:r w:rsidR="0051716A">
        <w:rPr>
          <w:sz w:val="24"/>
          <w:szCs w:val="24"/>
        </w:rPr>
        <w:t xml:space="preserve"> </w:t>
      </w:r>
      <w:r w:rsidR="00343893">
        <w:rPr>
          <w:sz w:val="24"/>
          <w:szCs w:val="24"/>
        </w:rPr>
        <w:t xml:space="preserve">non sia </w:t>
      </w:r>
      <w:r w:rsidR="0051716A">
        <w:rPr>
          <w:sz w:val="24"/>
          <w:szCs w:val="24"/>
        </w:rPr>
        <w:t>stato fondato</w:t>
      </w:r>
      <w:r w:rsidR="00343893">
        <w:rPr>
          <w:sz w:val="24"/>
          <w:szCs w:val="24"/>
        </w:rPr>
        <w:t xml:space="preserve"> </w:t>
      </w:r>
      <w:r w:rsidR="00FA5D76">
        <w:rPr>
          <w:sz w:val="24"/>
          <w:szCs w:val="24"/>
        </w:rPr>
        <w:t xml:space="preserve">come </w:t>
      </w:r>
      <w:r>
        <w:rPr>
          <w:sz w:val="24"/>
          <w:szCs w:val="24"/>
        </w:rPr>
        <w:t>soggetto politico</w:t>
      </w:r>
      <w:r w:rsidR="00FA5D76">
        <w:rPr>
          <w:sz w:val="24"/>
          <w:szCs w:val="24"/>
        </w:rPr>
        <w:t xml:space="preserve"> </w:t>
      </w:r>
      <w:r>
        <w:rPr>
          <w:sz w:val="24"/>
          <w:szCs w:val="24"/>
        </w:rPr>
        <w:t>in</w:t>
      </w:r>
      <w:r w:rsidR="00FA5D76">
        <w:rPr>
          <w:sz w:val="24"/>
          <w:szCs w:val="24"/>
        </w:rPr>
        <w:t xml:space="preserve"> opposizione</w:t>
      </w:r>
      <w:r>
        <w:rPr>
          <w:sz w:val="24"/>
          <w:szCs w:val="24"/>
        </w:rPr>
        <w:t xml:space="preserve"> al governo comunista</w:t>
      </w:r>
      <w:r w:rsidR="00FA5D76">
        <w:rPr>
          <w:sz w:val="24"/>
          <w:szCs w:val="24"/>
        </w:rPr>
        <w:t>, i</w:t>
      </w:r>
      <w:r w:rsidR="006D6B44" w:rsidRPr="006D6B44">
        <w:rPr>
          <w:sz w:val="24"/>
          <w:szCs w:val="24"/>
        </w:rPr>
        <w:t xml:space="preserve">n quanto organizzazione indipendente </w:t>
      </w:r>
      <w:r w:rsidR="00FA5D76">
        <w:rPr>
          <w:sz w:val="24"/>
          <w:szCs w:val="24"/>
        </w:rPr>
        <w:t>è divenuto</w:t>
      </w:r>
      <w:r w:rsidR="006D6B44" w:rsidRPr="006D6B44">
        <w:rPr>
          <w:sz w:val="24"/>
          <w:szCs w:val="24"/>
        </w:rPr>
        <w:t xml:space="preserve"> il fulcro delle speranze di un’intera società e, anche grazie alla presenza di esponenti dell’intellighenzia con un passato nel dissenso, si </w:t>
      </w:r>
      <w:r w:rsidR="002E37ED">
        <w:rPr>
          <w:sz w:val="24"/>
          <w:szCs w:val="24"/>
        </w:rPr>
        <w:t>è trasformato</w:t>
      </w:r>
      <w:r w:rsidR="006D6B44" w:rsidRPr="006D6B44">
        <w:rPr>
          <w:sz w:val="24"/>
          <w:szCs w:val="24"/>
        </w:rPr>
        <w:t xml:space="preserve"> progressivamente da sindacato a soggetto politico.</w:t>
      </w:r>
      <w:r w:rsidR="006D6B44">
        <w:rPr>
          <w:sz w:val="24"/>
          <w:szCs w:val="24"/>
        </w:rPr>
        <w:t xml:space="preserve"> </w:t>
      </w:r>
      <w:r>
        <w:rPr>
          <w:sz w:val="24"/>
          <w:szCs w:val="24"/>
        </w:rPr>
        <w:t xml:space="preserve">In questo </w:t>
      </w:r>
      <w:r w:rsidR="00F65719">
        <w:rPr>
          <w:sz w:val="24"/>
          <w:szCs w:val="24"/>
        </w:rPr>
        <w:t>contesto</w:t>
      </w:r>
      <w:r>
        <w:rPr>
          <w:sz w:val="24"/>
          <w:szCs w:val="24"/>
        </w:rPr>
        <w:t xml:space="preserve"> ha sviluppato una propria politica internazionale, inizialmente indirizzata ai sindacati occidentali e,</w:t>
      </w:r>
      <w:r w:rsidR="0051716A">
        <w:rPr>
          <w:sz w:val="24"/>
          <w:szCs w:val="24"/>
        </w:rPr>
        <w:t xml:space="preserve"> solo alla fine del 1981, ai governi e alle rappresentanze diplomatiche. </w:t>
      </w:r>
      <w:r w:rsidR="00EC2669" w:rsidRPr="00894EE3">
        <w:rPr>
          <w:sz w:val="24"/>
          <w:szCs w:val="24"/>
        </w:rPr>
        <w:t xml:space="preserve">La trasformazione di </w:t>
      </w:r>
      <w:r w:rsidR="00972C34">
        <w:rPr>
          <w:sz w:val="24"/>
          <w:szCs w:val="24"/>
        </w:rPr>
        <w:t xml:space="preserve">Solidarność </w:t>
      </w:r>
      <w:r w:rsidR="00EC2669" w:rsidRPr="00894EE3">
        <w:rPr>
          <w:sz w:val="24"/>
          <w:szCs w:val="24"/>
        </w:rPr>
        <w:t>non si è naturalmente esaurita negli anni di attività legale</w:t>
      </w:r>
      <w:r w:rsidR="00946429">
        <w:rPr>
          <w:sz w:val="24"/>
          <w:szCs w:val="24"/>
        </w:rPr>
        <w:t>.</w:t>
      </w:r>
      <w:r w:rsidR="002E37ED">
        <w:rPr>
          <w:sz w:val="24"/>
          <w:szCs w:val="24"/>
        </w:rPr>
        <w:t xml:space="preserve"> </w:t>
      </w:r>
      <w:r w:rsidR="003A5F18">
        <w:rPr>
          <w:sz w:val="24"/>
          <w:szCs w:val="24"/>
        </w:rPr>
        <w:t>Dopo l’imposizione della legge marziale</w:t>
      </w:r>
      <w:r w:rsidR="00696AFD">
        <w:rPr>
          <w:sz w:val="24"/>
          <w:szCs w:val="24"/>
        </w:rPr>
        <w:t xml:space="preserve"> nel dicembre 1981</w:t>
      </w:r>
      <w:r w:rsidR="003A5F18">
        <w:rPr>
          <w:sz w:val="24"/>
          <w:szCs w:val="24"/>
        </w:rPr>
        <w:t xml:space="preserve"> </w:t>
      </w:r>
      <w:r w:rsidR="00EC2669" w:rsidRPr="00894EE3">
        <w:rPr>
          <w:sz w:val="24"/>
          <w:szCs w:val="24"/>
        </w:rPr>
        <w:t xml:space="preserve">il movimento </w:t>
      </w:r>
      <w:r w:rsidR="0051716A">
        <w:rPr>
          <w:sz w:val="24"/>
          <w:szCs w:val="24"/>
        </w:rPr>
        <w:t>ha cambiato</w:t>
      </w:r>
      <w:r w:rsidR="003A5F18">
        <w:rPr>
          <w:sz w:val="24"/>
          <w:szCs w:val="24"/>
        </w:rPr>
        <w:t xml:space="preserve"> </w:t>
      </w:r>
      <w:r w:rsidR="00EC2669" w:rsidRPr="00894EE3">
        <w:rPr>
          <w:sz w:val="24"/>
          <w:szCs w:val="24"/>
        </w:rPr>
        <w:t>volto, organizzazione e obiettivi.</w:t>
      </w:r>
      <w:r w:rsidR="0051716A">
        <w:rPr>
          <w:sz w:val="24"/>
          <w:szCs w:val="24"/>
        </w:rPr>
        <w:t xml:space="preserve"> Grazie</w:t>
      </w:r>
      <w:r w:rsidR="00EC2669" w:rsidRPr="00894EE3">
        <w:rPr>
          <w:sz w:val="24"/>
          <w:szCs w:val="24"/>
        </w:rPr>
        <w:t xml:space="preserve"> al</w:t>
      </w:r>
      <w:r w:rsidR="0051716A">
        <w:rPr>
          <w:sz w:val="24"/>
          <w:szCs w:val="24"/>
        </w:rPr>
        <w:t xml:space="preserve">l’esperienza pregressa di clandestinità degli attivisti, all’utilizzo strategico della retorica dei diritti umani, e al </w:t>
      </w:r>
      <w:r w:rsidR="00EC2669" w:rsidRPr="00894EE3">
        <w:rPr>
          <w:sz w:val="24"/>
          <w:szCs w:val="24"/>
        </w:rPr>
        <w:t xml:space="preserve">network internazionale creato durante il 1981 </w:t>
      </w:r>
      <w:r w:rsidR="00A96339">
        <w:rPr>
          <w:sz w:val="24"/>
          <w:szCs w:val="24"/>
        </w:rPr>
        <w:t xml:space="preserve">Solidarność è sopravvissuto alla fase di clandestinità </w:t>
      </w:r>
      <w:r w:rsidR="0051716A">
        <w:rPr>
          <w:sz w:val="24"/>
          <w:szCs w:val="24"/>
        </w:rPr>
        <w:t>arrivando a</w:t>
      </w:r>
      <w:r w:rsidR="009A65BD">
        <w:rPr>
          <w:sz w:val="24"/>
          <w:szCs w:val="24"/>
        </w:rPr>
        <w:t xml:space="preserve"> negozia</w:t>
      </w:r>
      <w:r w:rsidR="0051716A">
        <w:rPr>
          <w:sz w:val="24"/>
          <w:szCs w:val="24"/>
        </w:rPr>
        <w:t>re</w:t>
      </w:r>
      <w:r w:rsidR="00EC2669" w:rsidRPr="00894EE3">
        <w:rPr>
          <w:sz w:val="24"/>
          <w:szCs w:val="24"/>
        </w:rPr>
        <w:t xml:space="preserve"> le prime elezioni semi libere del blocco</w:t>
      </w:r>
      <w:r w:rsidR="009A65BD">
        <w:rPr>
          <w:sz w:val="24"/>
          <w:szCs w:val="24"/>
        </w:rPr>
        <w:t xml:space="preserve"> sovietico nel 1989.</w:t>
      </w:r>
      <w:r w:rsidR="00EC2669" w:rsidRPr="00894EE3">
        <w:rPr>
          <w:sz w:val="24"/>
          <w:szCs w:val="24"/>
        </w:rPr>
        <w:t xml:space="preserve"> </w:t>
      </w:r>
    </w:p>
    <w:p w14:paraId="469EFFAB" w14:textId="3ED4C020" w:rsidR="00526772" w:rsidRDefault="002E37ED" w:rsidP="001A1A50">
      <w:pPr>
        <w:spacing w:line="360" w:lineRule="auto"/>
        <w:ind w:firstLine="709"/>
        <w:jc w:val="both"/>
        <w:rPr>
          <w:sz w:val="24"/>
          <w:szCs w:val="24"/>
        </w:rPr>
      </w:pPr>
      <w:r w:rsidRPr="0072277F">
        <w:rPr>
          <w:sz w:val="24"/>
          <w:szCs w:val="24"/>
        </w:rPr>
        <w:t>Questo studio si</w:t>
      </w:r>
      <w:r w:rsidRPr="002E37ED">
        <w:rPr>
          <w:sz w:val="24"/>
          <w:szCs w:val="24"/>
        </w:rPr>
        <w:t xml:space="preserve"> </w:t>
      </w:r>
      <w:r w:rsidR="00A96339">
        <w:rPr>
          <w:sz w:val="24"/>
          <w:szCs w:val="24"/>
        </w:rPr>
        <w:t xml:space="preserve">inserisce quindi, </w:t>
      </w:r>
      <w:r w:rsidR="00A96339" w:rsidRPr="002E37ED">
        <w:rPr>
          <w:sz w:val="24"/>
          <w:szCs w:val="24"/>
        </w:rPr>
        <w:t>a partire dal caso Solidarność</w:t>
      </w:r>
      <w:r w:rsidR="00A96339">
        <w:rPr>
          <w:sz w:val="24"/>
          <w:szCs w:val="24"/>
        </w:rPr>
        <w:t xml:space="preserve">, nella discussione di </w:t>
      </w:r>
      <w:r w:rsidR="00A96339" w:rsidRPr="002E37ED">
        <w:rPr>
          <w:sz w:val="24"/>
          <w:szCs w:val="24"/>
        </w:rPr>
        <w:t xml:space="preserve">temi come la fine della Guerra Fredda, l’integrazione europea e la nuova storiografia dei diritti </w:t>
      </w:r>
      <w:r w:rsidR="00A96339">
        <w:rPr>
          <w:sz w:val="24"/>
          <w:szCs w:val="24"/>
        </w:rPr>
        <w:t>umani.</w:t>
      </w:r>
    </w:p>
    <w:p w14:paraId="7A7FA11A" w14:textId="77777777" w:rsidR="002E37ED" w:rsidRPr="00A1762E" w:rsidRDefault="002E37ED" w:rsidP="001A1A50">
      <w:pPr>
        <w:spacing w:line="360" w:lineRule="auto"/>
        <w:ind w:left="140" w:right="27" w:firstLine="709"/>
        <w:jc w:val="both"/>
        <w:rPr>
          <w:sz w:val="24"/>
          <w:szCs w:val="24"/>
        </w:rPr>
      </w:pPr>
    </w:p>
    <w:p w14:paraId="3CC3949E" w14:textId="74CABC35" w:rsidR="00BB2A54" w:rsidRPr="00F660C4" w:rsidRDefault="00A1762E" w:rsidP="001A1A50">
      <w:pPr>
        <w:pStyle w:val="Corpotesto"/>
        <w:spacing w:line="360" w:lineRule="auto"/>
        <w:jc w:val="both"/>
        <w:rPr>
          <w:b/>
          <w:bCs/>
          <w:sz w:val="24"/>
          <w:szCs w:val="24"/>
        </w:rPr>
      </w:pPr>
      <w:r>
        <w:rPr>
          <w:b/>
          <w:bCs/>
          <w:sz w:val="24"/>
          <w:szCs w:val="24"/>
        </w:rPr>
        <w:t xml:space="preserve">2. </w:t>
      </w:r>
      <w:r w:rsidR="00BB2A54" w:rsidRPr="00F660C4">
        <w:rPr>
          <w:b/>
          <w:bCs/>
          <w:sz w:val="24"/>
          <w:szCs w:val="24"/>
        </w:rPr>
        <w:t>Stato dell’arte</w:t>
      </w:r>
    </w:p>
    <w:p w14:paraId="75256E26" w14:textId="5BF0FD4F" w:rsidR="00A96339" w:rsidRDefault="00BB2A54" w:rsidP="001A1A50">
      <w:pPr>
        <w:pStyle w:val="NormaleWeb"/>
        <w:spacing w:before="0" w:beforeAutospacing="0" w:after="0" w:afterAutospacing="0" w:line="360" w:lineRule="auto"/>
        <w:ind w:firstLine="720"/>
        <w:jc w:val="both"/>
        <w:rPr>
          <w:lang w:val="it-IT"/>
        </w:rPr>
      </w:pPr>
      <w:r w:rsidRPr="00186EEB">
        <w:rPr>
          <w:lang w:val="it-IT"/>
        </w:rPr>
        <w:t>Solidarność</w:t>
      </w:r>
      <w:r w:rsidRPr="00B87742">
        <w:rPr>
          <w:lang w:val="it-IT"/>
        </w:rPr>
        <w:t>, data la sua</w:t>
      </w:r>
      <w:r>
        <w:rPr>
          <w:lang w:val="it-IT"/>
        </w:rPr>
        <w:t xml:space="preserve"> natura eterogenea e la sua</w:t>
      </w:r>
      <w:r w:rsidRPr="00B87742">
        <w:rPr>
          <w:lang w:val="it-IT"/>
        </w:rPr>
        <w:t xml:space="preserve"> importanza storica, è stato </w:t>
      </w:r>
      <w:r w:rsidRPr="00186EEB">
        <w:rPr>
          <w:lang w:val="it-IT"/>
        </w:rPr>
        <w:t>analizzato da diverse prospettive sin dalla sua nascita nel 1980</w:t>
      </w:r>
      <w:r w:rsidRPr="00894EE3">
        <w:rPr>
          <w:rStyle w:val="Rimandonotaapidipagina"/>
          <w:lang w:val="en-US"/>
        </w:rPr>
        <w:footnoteReference w:id="2"/>
      </w:r>
      <w:r w:rsidRPr="00186EEB">
        <w:rPr>
          <w:lang w:val="it-IT"/>
        </w:rPr>
        <w:t xml:space="preserve">. </w:t>
      </w:r>
      <w:r w:rsidR="00F65719">
        <w:rPr>
          <w:lang w:val="it-IT"/>
        </w:rPr>
        <w:t>Il</w:t>
      </w:r>
      <w:r w:rsidR="00A96339" w:rsidRPr="0072277F">
        <w:rPr>
          <w:lang w:val="it-IT"/>
        </w:rPr>
        <w:t xml:space="preserve"> movimento è stato anche oggetto di strumentalizzazioni nel corso degli anni. Si è spesso riscontrata</w:t>
      </w:r>
      <w:r w:rsidR="00A96339" w:rsidRPr="00F14B50">
        <w:rPr>
          <w:lang w:val="it-IT"/>
        </w:rPr>
        <w:t xml:space="preserve"> un'analisi frammentaria, talvolta agiografica, costantemente influenzata da pregiudiziali aspettative di partenza e dalle logiche della Guerra Fredda.</w:t>
      </w:r>
      <w:r w:rsidR="00A96339" w:rsidRPr="00801B8B">
        <w:rPr>
          <w:lang w:val="it-IT"/>
        </w:rPr>
        <w:t xml:space="preserve"> </w:t>
      </w:r>
      <w:r w:rsidR="00526772" w:rsidRPr="00526772">
        <w:rPr>
          <w:lang w:val="it-IT"/>
        </w:rPr>
        <w:t xml:space="preserve">La varietà di approcci con cui è stata analizzata l’esperienza di Solidarność ha spinto la sociologa </w:t>
      </w:r>
      <w:proofErr w:type="spellStart"/>
      <w:r w:rsidR="00526772" w:rsidRPr="00526772">
        <w:rPr>
          <w:lang w:val="it-IT"/>
        </w:rPr>
        <w:t>Maryjane</w:t>
      </w:r>
      <w:proofErr w:type="spellEnd"/>
      <w:r w:rsidR="00526772" w:rsidRPr="00526772">
        <w:rPr>
          <w:lang w:val="it-IT"/>
        </w:rPr>
        <w:t xml:space="preserve"> Osa a ricondurre questi studi a due principali correnti, distinte per cronologia e metodo: una prima, sviluppata dai sociologi negli anni ’80, e una seconda, elaborata dai politologi negli </w:t>
      </w:r>
      <w:r w:rsidR="00526772" w:rsidRPr="00526772">
        <w:rPr>
          <w:lang w:val="it-IT"/>
        </w:rPr>
        <w:lastRenderedPageBreak/>
        <w:t>anni ’90</w:t>
      </w:r>
      <w:r w:rsidRPr="0072277F">
        <w:rPr>
          <w:rStyle w:val="Rimandonotaapidipagina"/>
          <w:lang w:val="en-US"/>
        </w:rPr>
        <w:footnoteReference w:id="3"/>
      </w:r>
      <w:r w:rsidRPr="0072277F">
        <w:rPr>
          <w:lang w:val="it-IT"/>
        </w:rPr>
        <w:t xml:space="preserve">. Nel dibattito contemporaneo, le </w:t>
      </w:r>
      <w:r w:rsidR="00954C10" w:rsidRPr="0072277F">
        <w:rPr>
          <w:lang w:val="it-IT"/>
        </w:rPr>
        <w:t>tendenze</w:t>
      </w:r>
      <w:r w:rsidRPr="0072277F">
        <w:rPr>
          <w:lang w:val="it-IT"/>
        </w:rPr>
        <w:t xml:space="preserve"> individuate da Osa si sono ampliate a tre, </w:t>
      </w:r>
      <w:r w:rsidR="00954C10" w:rsidRPr="0072277F">
        <w:rPr>
          <w:lang w:val="it-IT"/>
        </w:rPr>
        <w:t>per effetto</w:t>
      </w:r>
      <w:r w:rsidRPr="0072277F">
        <w:rPr>
          <w:lang w:val="it-IT"/>
        </w:rPr>
        <w:t xml:space="preserve"> d</w:t>
      </w:r>
      <w:r w:rsidR="00954C10" w:rsidRPr="0072277F">
        <w:rPr>
          <w:lang w:val="it-IT"/>
        </w:rPr>
        <w:t>e</w:t>
      </w:r>
      <w:r w:rsidRPr="0072277F">
        <w:rPr>
          <w:lang w:val="it-IT"/>
        </w:rPr>
        <w:t>ll’evoluzione degli studi storici a partire dalla metà degli anni 2000. Tuttavia, vi è una netta sproporzione tra la</w:t>
      </w:r>
      <w:r w:rsidRPr="00477FE3">
        <w:rPr>
          <w:lang w:val="it-IT"/>
        </w:rPr>
        <w:t xml:space="preserve"> ricerca in lingua polacca—accessibile a un pubblico limitato—e il numero significativamente inferiore di lavori disponibili per i lettori internazionali. </w:t>
      </w:r>
    </w:p>
    <w:p w14:paraId="5A207FD7" w14:textId="57DA9009" w:rsidR="00BB2A54" w:rsidRPr="00E04886" w:rsidRDefault="00526772" w:rsidP="001A1A50">
      <w:pPr>
        <w:pStyle w:val="NormaleWeb"/>
        <w:spacing w:before="0" w:beforeAutospacing="0" w:after="0" w:afterAutospacing="0" w:line="360" w:lineRule="auto"/>
        <w:ind w:firstLine="720"/>
        <w:jc w:val="both"/>
        <w:rPr>
          <w:lang w:val="it-IT"/>
        </w:rPr>
      </w:pPr>
      <w:r w:rsidRPr="00526772">
        <w:rPr>
          <w:lang w:val="it-IT"/>
        </w:rPr>
        <w:t xml:space="preserve">Alla luce di questa disparità, sebbene la tesi si basi su fonti in inglese, polacco, spagnolo e italiano, la rassegna si concentrerà sugli studi storici in lingua inglese, </w:t>
      </w:r>
      <w:r>
        <w:rPr>
          <w:lang w:val="it-IT"/>
        </w:rPr>
        <w:t>che</w:t>
      </w:r>
      <w:r w:rsidRPr="00B87742">
        <w:rPr>
          <w:lang w:val="it-IT"/>
        </w:rPr>
        <w:t xml:space="preserve"> costituiscono il principale punto di riferimento per il dibattito </w:t>
      </w:r>
      <w:r>
        <w:rPr>
          <w:lang w:val="it-IT"/>
        </w:rPr>
        <w:t>internazionale</w:t>
      </w:r>
      <w:r w:rsidRPr="00B87742">
        <w:rPr>
          <w:lang w:val="it-IT"/>
        </w:rPr>
        <w:t xml:space="preserve"> sul tema</w:t>
      </w:r>
      <w:r w:rsidRPr="00526772">
        <w:rPr>
          <w:lang w:val="it-IT"/>
        </w:rPr>
        <w:t>. I contributi polacchi saranno comunque richiamati laddove essenziali per cogliere le specificità del caso.</w:t>
      </w:r>
      <w:r>
        <w:rPr>
          <w:lang w:val="it-IT"/>
        </w:rPr>
        <w:t xml:space="preserve"> </w:t>
      </w:r>
      <w:r w:rsidR="00BB2A54" w:rsidRPr="0025100E">
        <w:rPr>
          <w:lang w:val="it-IT"/>
        </w:rPr>
        <w:t xml:space="preserve">Le principali ricerche storiche su </w:t>
      </w:r>
      <w:r w:rsidR="00BB2A54" w:rsidRPr="009F3D48">
        <w:rPr>
          <w:lang w:val="it-IT"/>
        </w:rPr>
        <w:t>Solidarność</w:t>
      </w:r>
      <w:r w:rsidR="00BB2A54" w:rsidRPr="0025100E">
        <w:rPr>
          <w:lang w:val="it-IT"/>
        </w:rPr>
        <w:t xml:space="preserve"> possono </w:t>
      </w:r>
      <w:r w:rsidR="00F65719">
        <w:rPr>
          <w:lang w:val="it-IT"/>
        </w:rPr>
        <w:t xml:space="preserve">quindi </w:t>
      </w:r>
      <w:r w:rsidR="00BB2A54" w:rsidRPr="0025100E">
        <w:rPr>
          <w:lang w:val="it-IT"/>
        </w:rPr>
        <w:t xml:space="preserve">essere suddivise in </w:t>
      </w:r>
      <w:r w:rsidR="00BB2A54">
        <w:rPr>
          <w:lang w:val="it-IT"/>
        </w:rPr>
        <w:t>quattro</w:t>
      </w:r>
      <w:r w:rsidR="00BB2A54" w:rsidRPr="0025100E">
        <w:rPr>
          <w:lang w:val="it-IT"/>
        </w:rPr>
        <w:t xml:space="preserve"> macro-categorie</w:t>
      </w:r>
      <w:r w:rsidR="00E04886">
        <w:rPr>
          <w:lang w:val="it-IT"/>
        </w:rPr>
        <w:t xml:space="preserve"> in base al tema affrontato: (i) s</w:t>
      </w:r>
      <w:r w:rsidR="00BB2A54" w:rsidRPr="00526772">
        <w:rPr>
          <w:lang w:val="it-IT"/>
        </w:rPr>
        <w:t xml:space="preserve">toria nazionale del movimento, </w:t>
      </w:r>
      <w:r w:rsidR="00E04886">
        <w:rPr>
          <w:lang w:val="it-IT"/>
        </w:rPr>
        <w:t>(ii) r</w:t>
      </w:r>
      <w:r w:rsidR="00BB2A54" w:rsidRPr="00526772">
        <w:rPr>
          <w:lang w:val="it-IT"/>
        </w:rPr>
        <w:t>apporti con i sindacati occidentali</w:t>
      </w:r>
      <w:r w:rsidR="00E04886">
        <w:rPr>
          <w:lang w:val="it-IT"/>
        </w:rPr>
        <w:t>, (iii) re</w:t>
      </w:r>
      <w:r w:rsidR="00BB2A54" w:rsidRPr="00526772">
        <w:rPr>
          <w:lang w:val="it-IT"/>
        </w:rPr>
        <w:t>lazioni con i governi</w:t>
      </w:r>
      <w:r w:rsidR="00E04886">
        <w:rPr>
          <w:lang w:val="it-IT"/>
        </w:rPr>
        <w:t>, (iv) c</w:t>
      </w:r>
      <w:r w:rsidR="00BB2A54" w:rsidRPr="00526772">
        <w:rPr>
          <w:lang w:val="it-IT"/>
        </w:rPr>
        <w:t>arattere transnazionale del movimento</w:t>
      </w:r>
      <w:r w:rsidR="00BB2A54" w:rsidRPr="0025100E">
        <w:rPr>
          <w:lang w:val="it-IT"/>
        </w:rPr>
        <w:t>.</w:t>
      </w:r>
    </w:p>
    <w:p w14:paraId="30B5930C" w14:textId="7535CCC7" w:rsidR="00BB2A54" w:rsidRDefault="00BB2A54" w:rsidP="001A1A50">
      <w:pPr>
        <w:pStyle w:val="NormaleWeb"/>
        <w:spacing w:before="0" w:beforeAutospacing="0" w:after="0" w:afterAutospacing="0" w:line="360" w:lineRule="auto"/>
        <w:ind w:firstLine="720"/>
        <w:jc w:val="both"/>
        <w:rPr>
          <w:lang w:val="it-IT"/>
        </w:rPr>
      </w:pPr>
      <w:r w:rsidRPr="0025100E">
        <w:rPr>
          <w:lang w:val="it-IT"/>
        </w:rPr>
        <w:t xml:space="preserve">Al primo gruppo appartiene, ad esempio, il lavoro pionieristico di Timothy Garton </w:t>
      </w:r>
      <w:proofErr w:type="spellStart"/>
      <w:r w:rsidRPr="0025100E">
        <w:rPr>
          <w:lang w:val="it-IT"/>
        </w:rPr>
        <w:t>Ash</w:t>
      </w:r>
      <w:proofErr w:type="spellEnd"/>
      <w:r w:rsidRPr="0025100E">
        <w:rPr>
          <w:lang w:val="it-IT"/>
        </w:rPr>
        <w:t xml:space="preserve">. Pubblicato nel 1983, il suo studio ripercorre la traiettoria del cosiddetto Carnevale di </w:t>
      </w:r>
      <w:r w:rsidRPr="003366C7">
        <w:rPr>
          <w:lang w:val="it-IT"/>
        </w:rPr>
        <w:t>Solidarność</w:t>
      </w:r>
      <w:r w:rsidR="003366C7">
        <w:rPr>
          <w:lang w:val="it-IT"/>
        </w:rPr>
        <w:t xml:space="preserve"> (1980-1981)</w:t>
      </w:r>
      <w:r w:rsidRPr="0025100E">
        <w:rPr>
          <w:lang w:val="it-IT"/>
        </w:rPr>
        <w:t>, analizzandone le cause e le conseguenze</w:t>
      </w:r>
      <w:r w:rsidRPr="00E04886">
        <w:rPr>
          <w:rStyle w:val="Rimandonotaapidipagina"/>
          <w:lang w:val="it-IT"/>
        </w:rPr>
        <w:footnoteReference w:id="4"/>
      </w:r>
      <w:r w:rsidRPr="00E04886">
        <w:rPr>
          <w:lang w:val="it-IT"/>
        </w:rPr>
        <w:t>.</w:t>
      </w:r>
      <w:r w:rsidR="003366C7">
        <w:rPr>
          <w:lang w:val="it-IT"/>
        </w:rPr>
        <w:t xml:space="preserve"> </w:t>
      </w:r>
      <w:r w:rsidRPr="0025100E">
        <w:rPr>
          <w:lang w:val="it-IT"/>
        </w:rPr>
        <w:t xml:space="preserve">Nel panorama storiografico polacco, invece, il principale punto di riferimento è Andrzej Friszke, autore di numerosi volumi che ricostruiscono l’evoluzione di </w:t>
      </w:r>
      <w:r w:rsidRPr="00BB2A54">
        <w:rPr>
          <w:lang w:val="it-IT"/>
        </w:rPr>
        <w:t>Solidarność</w:t>
      </w:r>
      <w:r w:rsidRPr="0025100E">
        <w:rPr>
          <w:lang w:val="it-IT"/>
        </w:rPr>
        <w:t>, dal periodo di legalità fino alla clandestinità, offrendo un’analisi dettagliata del movimento nella sua complessità storica e politica</w:t>
      </w:r>
      <w:r>
        <w:rPr>
          <w:rStyle w:val="Rimandonotaapidipagina"/>
          <w:lang w:val="it-IT"/>
        </w:rPr>
        <w:footnoteReference w:id="5"/>
      </w:r>
      <w:r w:rsidRPr="0025100E">
        <w:rPr>
          <w:lang w:val="it-IT"/>
        </w:rPr>
        <w:t>.</w:t>
      </w:r>
    </w:p>
    <w:p w14:paraId="715DAE3E" w14:textId="0C3B6E32" w:rsidR="001401B2" w:rsidRDefault="00D37705" w:rsidP="001A1A50">
      <w:pPr>
        <w:pStyle w:val="NormaleWeb"/>
        <w:spacing w:before="0" w:beforeAutospacing="0" w:after="0" w:afterAutospacing="0" w:line="360" w:lineRule="auto"/>
        <w:ind w:firstLine="720"/>
        <w:jc w:val="both"/>
        <w:rPr>
          <w:lang w:val="it-IT"/>
        </w:rPr>
      </w:pPr>
      <w:r>
        <w:rPr>
          <w:lang w:val="it-IT"/>
        </w:rPr>
        <w:t>I</w:t>
      </w:r>
      <w:r w:rsidRPr="00605F78">
        <w:rPr>
          <w:lang w:val="it-IT"/>
        </w:rPr>
        <w:t xml:space="preserve">l secondo filone di studi </w:t>
      </w:r>
      <w:r>
        <w:rPr>
          <w:lang w:val="it-IT"/>
        </w:rPr>
        <w:t xml:space="preserve">ha come </w:t>
      </w:r>
      <w:r w:rsidR="00BB2A54" w:rsidRPr="00605F78">
        <w:rPr>
          <w:lang w:val="it-IT"/>
        </w:rPr>
        <w:t xml:space="preserve">autore di riferimento lo storico </w:t>
      </w:r>
      <w:proofErr w:type="spellStart"/>
      <w:r w:rsidR="00BB2A54" w:rsidRPr="00605F78">
        <w:rPr>
          <w:lang w:val="it-IT"/>
        </w:rPr>
        <w:t>Idesbald</w:t>
      </w:r>
      <w:proofErr w:type="spellEnd"/>
      <w:r w:rsidR="00BB2A54" w:rsidRPr="00605F78">
        <w:rPr>
          <w:lang w:val="it-IT"/>
        </w:rPr>
        <w:t xml:space="preserve"> </w:t>
      </w:r>
      <w:proofErr w:type="spellStart"/>
      <w:r w:rsidR="00BB2A54" w:rsidRPr="00605F78">
        <w:rPr>
          <w:lang w:val="it-IT"/>
        </w:rPr>
        <w:t>Goddeeris</w:t>
      </w:r>
      <w:proofErr w:type="spellEnd"/>
      <w:r w:rsidR="00BB2A54" w:rsidRPr="00605F78">
        <w:rPr>
          <w:lang w:val="it-IT"/>
        </w:rPr>
        <w:t>, il cui contributo risulta fondamentale per l'analisi del</w:t>
      </w:r>
      <w:r>
        <w:rPr>
          <w:lang w:val="it-IT"/>
        </w:rPr>
        <w:t xml:space="preserve">la rete </w:t>
      </w:r>
      <w:r w:rsidR="00BB2A54" w:rsidRPr="00605F78">
        <w:rPr>
          <w:lang w:val="it-IT"/>
        </w:rPr>
        <w:t xml:space="preserve">sindacale </w:t>
      </w:r>
      <w:r w:rsidR="00BB2A54" w:rsidRPr="00E04886">
        <w:rPr>
          <w:lang w:val="it-IT"/>
        </w:rPr>
        <w:t>internazionale</w:t>
      </w:r>
      <w:r w:rsidR="00BB2A54" w:rsidRPr="00E04886">
        <w:rPr>
          <w:rStyle w:val="Rimandonotaapidipagina"/>
          <w:lang w:val="it-IT"/>
        </w:rPr>
        <w:footnoteReference w:id="6"/>
      </w:r>
      <w:r w:rsidR="00BB2A54" w:rsidRPr="00E04886">
        <w:rPr>
          <w:lang w:val="it-IT"/>
        </w:rPr>
        <w:t>. In particolare</w:t>
      </w:r>
      <w:r w:rsidR="00BB2A54" w:rsidRPr="00605F78">
        <w:rPr>
          <w:lang w:val="it-IT"/>
        </w:rPr>
        <w:t xml:space="preserve">, il volume da lui curato, che raccoglie contributi di storici </w:t>
      </w:r>
      <w:r>
        <w:rPr>
          <w:lang w:val="it-IT"/>
        </w:rPr>
        <w:t>di diverse nazionalità</w:t>
      </w:r>
      <w:r w:rsidR="00C43B1E">
        <w:rPr>
          <w:lang w:val="it-IT"/>
        </w:rPr>
        <w:t xml:space="preserve"> </w:t>
      </w:r>
      <w:r w:rsidR="00BB2A54" w:rsidRPr="00605F78">
        <w:rPr>
          <w:lang w:val="it-IT"/>
        </w:rPr>
        <w:t xml:space="preserve">sulle relazioni di </w:t>
      </w:r>
      <w:r w:rsidR="00BB2A54" w:rsidRPr="00BB2A54">
        <w:rPr>
          <w:lang w:val="it-IT"/>
        </w:rPr>
        <w:t>Solidarność</w:t>
      </w:r>
      <w:r w:rsidR="00BB2A54" w:rsidRPr="00605F78">
        <w:rPr>
          <w:lang w:val="it-IT"/>
        </w:rPr>
        <w:t xml:space="preserve"> con nove paesi europei, rappresenta </w:t>
      </w:r>
      <w:r w:rsidR="00BB2A54" w:rsidRPr="0072277F">
        <w:rPr>
          <w:lang w:val="it-IT"/>
        </w:rPr>
        <w:t xml:space="preserve">un'opera di riferimento imprescindibile </w:t>
      </w:r>
      <w:r w:rsidR="00954C10" w:rsidRPr="0072277F">
        <w:rPr>
          <w:lang w:val="it-IT"/>
        </w:rPr>
        <w:t xml:space="preserve">per la conoscenza </w:t>
      </w:r>
      <w:r w:rsidR="00BB2A54" w:rsidRPr="0072277F">
        <w:rPr>
          <w:lang w:val="it-IT"/>
        </w:rPr>
        <w:t>di una rete di relazioni che, a causa della natura</w:t>
      </w:r>
      <w:r w:rsidR="00BB2A54" w:rsidRPr="00605F78">
        <w:rPr>
          <w:lang w:val="it-IT"/>
        </w:rPr>
        <w:t xml:space="preserve"> frammentaria e dinamica degli archivi sindacali, risulterebbe altrimenti difficile da ricostruire.</w:t>
      </w:r>
      <w:r w:rsidR="00BB2A54">
        <w:rPr>
          <w:lang w:val="it-IT"/>
        </w:rPr>
        <w:t xml:space="preserve"> </w:t>
      </w:r>
      <w:r w:rsidR="00BB2A54" w:rsidRPr="00605F78">
        <w:rPr>
          <w:lang w:val="it-IT"/>
        </w:rPr>
        <w:t xml:space="preserve">Ulteriori studi si sono concentrati sulle interazioni tra </w:t>
      </w:r>
      <w:r w:rsidR="00BB2A54" w:rsidRPr="00BB2A54">
        <w:rPr>
          <w:lang w:val="it-IT"/>
        </w:rPr>
        <w:t>Solidarność</w:t>
      </w:r>
      <w:r w:rsidR="00BB2A54" w:rsidRPr="00605F78">
        <w:rPr>
          <w:lang w:val="it-IT"/>
        </w:rPr>
        <w:t xml:space="preserve"> e i sindacati occidentali. Tra questi, Gregory Domber ha analizzato il ruolo dell'AFL-CIO negli Stati Uniti</w:t>
      </w:r>
      <w:r w:rsidR="00BB2A54" w:rsidRPr="00605F78">
        <w:rPr>
          <w:rStyle w:val="Rimandonotaapidipagina"/>
          <w:lang w:val="it-IT"/>
        </w:rPr>
        <w:footnoteReference w:id="7"/>
      </w:r>
      <w:r w:rsidR="00BB2A54" w:rsidRPr="00605F78">
        <w:rPr>
          <w:lang w:val="it-IT"/>
        </w:rPr>
        <w:t xml:space="preserve">, mentre Malgorzata </w:t>
      </w:r>
      <w:proofErr w:type="spellStart"/>
      <w:r w:rsidR="00BB2A54" w:rsidRPr="00605F78">
        <w:rPr>
          <w:lang w:val="it-IT"/>
        </w:rPr>
        <w:t>Swider</w:t>
      </w:r>
      <w:proofErr w:type="spellEnd"/>
      <w:r w:rsidR="00BB2A54" w:rsidRPr="00605F78">
        <w:rPr>
          <w:lang w:val="it-IT"/>
        </w:rPr>
        <w:t xml:space="preserve"> si è focalizzato sul contesto tedesco</w:t>
      </w:r>
      <w:r w:rsidR="00BB2A54" w:rsidRPr="00605F78">
        <w:rPr>
          <w:rStyle w:val="Rimandonotaapidipagina"/>
          <w:lang w:val="it-IT"/>
        </w:rPr>
        <w:footnoteReference w:id="8"/>
      </w:r>
      <w:r w:rsidR="00BB2A54" w:rsidRPr="00605F78">
        <w:rPr>
          <w:lang w:val="it-IT"/>
        </w:rPr>
        <w:t>. All'interno di questo blocco emergono numerosi riferimenti al ruolo dei sindacati italiani</w:t>
      </w:r>
      <w:r w:rsidR="00954C10">
        <w:rPr>
          <w:lang w:val="it-IT"/>
        </w:rPr>
        <w:t>,</w:t>
      </w:r>
      <w:r w:rsidR="00BB2A54">
        <w:rPr>
          <w:lang w:val="it-IT"/>
        </w:rPr>
        <w:t xml:space="preserve"> che sono stati approfonditi, fra gli altri  </w:t>
      </w:r>
      <w:r w:rsidR="00BB2A54" w:rsidRPr="00605F78">
        <w:rPr>
          <w:lang w:val="it-IT"/>
        </w:rPr>
        <w:t>da Nino De Amicis</w:t>
      </w:r>
      <w:r w:rsidR="00BB2A54">
        <w:rPr>
          <w:lang w:val="it-IT"/>
        </w:rPr>
        <w:t xml:space="preserve"> e </w:t>
      </w:r>
      <w:r w:rsidR="00BB2A54" w:rsidRPr="00605F78">
        <w:rPr>
          <w:lang w:val="it-IT"/>
        </w:rPr>
        <w:t>Sandra Cavallucci</w:t>
      </w:r>
      <w:r w:rsidR="00BB2A54">
        <w:rPr>
          <w:lang w:val="it-IT"/>
        </w:rPr>
        <w:t xml:space="preserve"> nel volume di </w:t>
      </w:r>
      <w:proofErr w:type="spellStart"/>
      <w:r w:rsidR="00BB2A54">
        <w:rPr>
          <w:lang w:val="it-IT"/>
        </w:rPr>
        <w:t>Godeeris</w:t>
      </w:r>
      <w:proofErr w:type="spellEnd"/>
      <w:r w:rsidR="00E04886">
        <w:rPr>
          <w:lang w:val="it-IT"/>
        </w:rPr>
        <w:t>,</w:t>
      </w:r>
      <w:r w:rsidR="00BB2A54">
        <w:rPr>
          <w:lang w:val="it-IT"/>
        </w:rPr>
        <w:t xml:space="preserve"> </w:t>
      </w:r>
      <w:r w:rsidR="00E04886">
        <w:rPr>
          <w:lang w:val="it-IT"/>
        </w:rPr>
        <w:t xml:space="preserve">da </w:t>
      </w:r>
      <w:r w:rsidR="00E04886" w:rsidRPr="00605F78">
        <w:rPr>
          <w:lang w:val="it-IT"/>
        </w:rPr>
        <w:t>Antonio Macchia</w:t>
      </w:r>
      <w:r w:rsidR="00E04886">
        <w:rPr>
          <w:lang w:val="it-IT"/>
        </w:rPr>
        <w:t xml:space="preserve">, </w:t>
      </w:r>
      <w:r w:rsidR="00BB2A54">
        <w:rPr>
          <w:lang w:val="it-IT"/>
        </w:rPr>
        <w:t xml:space="preserve">e da </w:t>
      </w:r>
      <w:proofErr w:type="spellStart"/>
      <w:r w:rsidR="00BB2A54" w:rsidRPr="00BB2A54">
        <w:rPr>
          <w:lang w:val="it-IT"/>
        </w:rPr>
        <w:t>K</w:t>
      </w:r>
      <w:r w:rsidR="00BB2A54">
        <w:rPr>
          <w:lang w:val="it-IT"/>
        </w:rPr>
        <w:t>atarzyna</w:t>
      </w:r>
      <w:proofErr w:type="spellEnd"/>
      <w:r w:rsidR="00BB2A54" w:rsidRPr="00BB2A54">
        <w:rPr>
          <w:lang w:val="it-IT"/>
        </w:rPr>
        <w:t xml:space="preserve"> </w:t>
      </w:r>
      <w:proofErr w:type="spellStart"/>
      <w:r w:rsidR="00BB2A54" w:rsidRPr="00BB2A54">
        <w:rPr>
          <w:lang w:val="it-IT"/>
        </w:rPr>
        <w:t>Jaworska</w:t>
      </w:r>
      <w:proofErr w:type="spellEnd"/>
      <w:r w:rsidR="00BB2A54" w:rsidRPr="00BB2A54">
        <w:rPr>
          <w:lang w:val="it-IT"/>
        </w:rPr>
        <w:t xml:space="preserve"> </w:t>
      </w:r>
      <w:r w:rsidR="00BB2A54">
        <w:rPr>
          <w:lang w:val="it-IT"/>
        </w:rPr>
        <w:t xml:space="preserve">e </w:t>
      </w:r>
      <w:r w:rsidR="00BB2A54" w:rsidRPr="00BB2A54">
        <w:rPr>
          <w:lang w:val="it-IT"/>
        </w:rPr>
        <w:t>C</w:t>
      </w:r>
      <w:r w:rsidR="001401B2">
        <w:rPr>
          <w:lang w:val="it-IT"/>
        </w:rPr>
        <w:t xml:space="preserve">aterina </w:t>
      </w:r>
      <w:proofErr w:type="spellStart"/>
      <w:r w:rsidR="00BB2A54" w:rsidRPr="00BB2A54">
        <w:rPr>
          <w:lang w:val="it-IT"/>
        </w:rPr>
        <w:t>Simiand</w:t>
      </w:r>
      <w:proofErr w:type="spellEnd"/>
      <w:r w:rsidR="001401B2">
        <w:rPr>
          <w:lang w:val="it-IT"/>
        </w:rPr>
        <w:t xml:space="preserve"> </w:t>
      </w:r>
      <w:r w:rsidR="00E04886">
        <w:rPr>
          <w:lang w:val="it-IT"/>
        </w:rPr>
        <w:t xml:space="preserve">in un volume </w:t>
      </w:r>
      <w:r w:rsidR="001401B2">
        <w:rPr>
          <w:lang w:val="it-IT"/>
        </w:rPr>
        <w:t xml:space="preserve">sull’attività dei sindacati di </w:t>
      </w:r>
      <w:r w:rsidR="001401B2">
        <w:rPr>
          <w:lang w:val="it-IT"/>
        </w:rPr>
        <w:lastRenderedPageBreak/>
        <w:t>Torino</w:t>
      </w:r>
      <w:r w:rsidR="001401B2">
        <w:rPr>
          <w:rStyle w:val="Rimandonotaapidipagina"/>
          <w:lang w:val="it-IT"/>
        </w:rPr>
        <w:footnoteReference w:id="9"/>
      </w:r>
      <w:r w:rsidR="00BB2A54" w:rsidRPr="00605F78">
        <w:rPr>
          <w:lang w:val="it-IT"/>
        </w:rPr>
        <w:t xml:space="preserve">. </w:t>
      </w:r>
      <w:r w:rsidR="00C43B1E">
        <w:rPr>
          <w:lang w:val="it-IT"/>
        </w:rPr>
        <w:t>La mia ricerca</w:t>
      </w:r>
      <w:r w:rsidR="001401B2" w:rsidRPr="001401B2">
        <w:rPr>
          <w:lang w:val="it-IT"/>
        </w:rPr>
        <w:t xml:space="preserve"> si propone di contribuire a</w:t>
      </w:r>
      <w:r w:rsidR="001401B2">
        <w:rPr>
          <w:lang w:val="it-IT"/>
        </w:rPr>
        <w:t xml:space="preserve"> questo</w:t>
      </w:r>
      <w:r w:rsidR="001401B2" w:rsidRPr="001401B2">
        <w:rPr>
          <w:lang w:val="it-IT"/>
        </w:rPr>
        <w:t xml:space="preserve"> dibattito </w:t>
      </w:r>
      <w:r w:rsidR="00954C10">
        <w:rPr>
          <w:lang w:val="it-IT"/>
        </w:rPr>
        <w:t xml:space="preserve">scientifico </w:t>
      </w:r>
      <w:r w:rsidR="001401B2" w:rsidRPr="001401B2">
        <w:rPr>
          <w:lang w:val="it-IT"/>
        </w:rPr>
        <w:t xml:space="preserve">attraverso due direttrici principali. Da un lato, </w:t>
      </w:r>
      <w:r w:rsidR="00954C10">
        <w:rPr>
          <w:lang w:val="it-IT"/>
        </w:rPr>
        <w:t>si intende approfondire</w:t>
      </w:r>
      <w:r w:rsidR="001401B2" w:rsidRPr="001401B2">
        <w:rPr>
          <w:lang w:val="it-IT"/>
        </w:rPr>
        <w:t xml:space="preserve"> la comparazione tra </w:t>
      </w:r>
      <w:r w:rsidR="00FD5F30">
        <w:rPr>
          <w:lang w:val="it-IT"/>
        </w:rPr>
        <w:t>la dimensione</w:t>
      </w:r>
      <w:r w:rsidR="001401B2" w:rsidRPr="001401B2">
        <w:rPr>
          <w:lang w:val="it-IT"/>
        </w:rPr>
        <w:t xml:space="preserve"> sindacale e quella governativa, un aspetto spesso trascurato nei precedenti studi. Dall'altro, </w:t>
      </w:r>
      <w:r w:rsidR="00954C10">
        <w:rPr>
          <w:lang w:val="it-IT"/>
        </w:rPr>
        <w:t xml:space="preserve">ci </w:t>
      </w:r>
      <w:r w:rsidR="00FD5F30">
        <w:rPr>
          <w:lang w:val="it-IT"/>
        </w:rPr>
        <w:t xml:space="preserve">si propone di </w:t>
      </w:r>
      <w:r w:rsidR="001401B2" w:rsidRPr="001401B2">
        <w:rPr>
          <w:lang w:val="it-IT"/>
        </w:rPr>
        <w:t>sviluppa</w:t>
      </w:r>
      <w:r w:rsidR="00FD5F30">
        <w:rPr>
          <w:lang w:val="it-IT"/>
        </w:rPr>
        <w:t>re</w:t>
      </w:r>
      <w:r w:rsidR="001401B2" w:rsidRPr="001401B2">
        <w:rPr>
          <w:lang w:val="it-IT"/>
        </w:rPr>
        <w:t xml:space="preserve"> ulteriormente l'analisi del contesto italiano, avvalendosi del ricco patrimonio documentale conservato presso la Fondazione Pastore </w:t>
      </w:r>
      <w:r w:rsidR="00E04886">
        <w:rPr>
          <w:lang w:val="it-IT"/>
        </w:rPr>
        <w:t xml:space="preserve">che </w:t>
      </w:r>
      <w:r w:rsidR="001401B2" w:rsidRPr="001401B2">
        <w:rPr>
          <w:lang w:val="it-IT"/>
        </w:rPr>
        <w:t>offr</w:t>
      </w:r>
      <w:r w:rsidR="00E04886">
        <w:rPr>
          <w:lang w:val="it-IT"/>
        </w:rPr>
        <w:t>e</w:t>
      </w:r>
      <w:r w:rsidR="001401B2" w:rsidRPr="001401B2">
        <w:rPr>
          <w:lang w:val="it-IT"/>
        </w:rPr>
        <w:t xml:space="preserve"> nuove prospettive di ricerca sulla dimensione internazionale di CGIL, CISL e UIL, specialmente se esaminati in </w:t>
      </w:r>
      <w:r w:rsidR="00954C10">
        <w:rPr>
          <w:lang w:val="it-IT"/>
        </w:rPr>
        <w:t>rapporto</w:t>
      </w:r>
      <w:r w:rsidR="001401B2" w:rsidRPr="001401B2">
        <w:rPr>
          <w:lang w:val="it-IT"/>
        </w:rPr>
        <w:t xml:space="preserve"> con la documentazione polacca.</w:t>
      </w:r>
    </w:p>
    <w:p w14:paraId="0B89A30D" w14:textId="7FBCF7EF" w:rsidR="00F00AB7" w:rsidRPr="00F00AB7" w:rsidRDefault="00F00AB7" w:rsidP="001A1A50">
      <w:pPr>
        <w:pStyle w:val="NormaleWeb"/>
        <w:spacing w:before="0" w:beforeAutospacing="0" w:after="0" w:afterAutospacing="0" w:line="360" w:lineRule="auto"/>
        <w:ind w:firstLine="720"/>
        <w:jc w:val="both"/>
        <w:rPr>
          <w:lang w:val="it-IT"/>
        </w:rPr>
      </w:pPr>
      <w:r w:rsidRPr="00605F78">
        <w:rPr>
          <w:lang w:val="it-IT"/>
        </w:rPr>
        <w:t xml:space="preserve">Il terzo filone di studi privilegia la dimensione </w:t>
      </w:r>
      <w:r w:rsidR="0072277F">
        <w:rPr>
          <w:lang w:val="it-IT"/>
        </w:rPr>
        <w:t>governativa</w:t>
      </w:r>
      <w:r w:rsidRPr="00605F78">
        <w:rPr>
          <w:lang w:val="it-IT"/>
        </w:rPr>
        <w:t xml:space="preserve"> piuttosto che quella sindacale. </w:t>
      </w:r>
      <w:proofErr w:type="spellStart"/>
      <w:r w:rsidRPr="00605F78">
        <w:rPr>
          <w:lang w:val="it-IT"/>
        </w:rPr>
        <w:t>Patryk</w:t>
      </w:r>
      <w:proofErr w:type="spellEnd"/>
      <w:r w:rsidRPr="00605F78">
        <w:rPr>
          <w:lang w:val="it-IT"/>
        </w:rPr>
        <w:t xml:space="preserve"> </w:t>
      </w:r>
      <w:proofErr w:type="spellStart"/>
      <w:r w:rsidRPr="00605F78">
        <w:rPr>
          <w:lang w:val="it-IT"/>
        </w:rPr>
        <w:t>Pleskot</w:t>
      </w:r>
      <w:proofErr w:type="spellEnd"/>
      <w:r w:rsidRPr="00605F78">
        <w:rPr>
          <w:lang w:val="it-IT"/>
        </w:rPr>
        <w:t xml:space="preserve"> </w:t>
      </w:r>
      <w:r w:rsidR="00595EFD">
        <w:rPr>
          <w:lang w:val="it-IT"/>
        </w:rPr>
        <w:t xml:space="preserve">è lo studioso di riferimento </w:t>
      </w:r>
      <w:r w:rsidR="00514F00">
        <w:rPr>
          <w:lang w:val="it-IT"/>
        </w:rPr>
        <w:t xml:space="preserve">nel panorama polacco per </w:t>
      </w:r>
      <w:r w:rsidR="00E04886">
        <w:rPr>
          <w:lang w:val="it-IT"/>
        </w:rPr>
        <w:t>i</w:t>
      </w:r>
      <w:r w:rsidRPr="00605F78">
        <w:rPr>
          <w:lang w:val="it-IT"/>
        </w:rPr>
        <w:t xml:space="preserve"> rapporti </w:t>
      </w:r>
      <w:r w:rsidR="00514F00">
        <w:rPr>
          <w:lang w:val="it-IT"/>
        </w:rPr>
        <w:t xml:space="preserve">internazionali </w:t>
      </w:r>
      <w:r w:rsidRPr="00605F78">
        <w:rPr>
          <w:lang w:val="it-IT"/>
        </w:rPr>
        <w:t xml:space="preserve">di </w:t>
      </w:r>
      <w:r w:rsidRPr="001401B2">
        <w:rPr>
          <w:lang w:val="it-IT"/>
        </w:rPr>
        <w:t>Solidarność</w:t>
      </w:r>
      <w:r w:rsidR="00954C10">
        <w:rPr>
          <w:lang w:val="it-IT"/>
        </w:rPr>
        <w:t xml:space="preserve"> e</w:t>
      </w:r>
      <w:r w:rsidR="00514F00">
        <w:rPr>
          <w:lang w:val="it-IT"/>
        </w:rPr>
        <w:t xml:space="preserve"> </w:t>
      </w:r>
      <w:r w:rsidR="00954C10">
        <w:rPr>
          <w:lang w:val="it-IT"/>
        </w:rPr>
        <w:t>s</w:t>
      </w:r>
      <w:r w:rsidR="00514F00">
        <w:rPr>
          <w:lang w:val="it-IT"/>
        </w:rPr>
        <w:t>i concentra principalmente su</w:t>
      </w:r>
      <w:r w:rsidRPr="001401B2">
        <w:rPr>
          <w:lang w:val="it-IT"/>
        </w:rPr>
        <w:t xml:space="preserve"> </w:t>
      </w:r>
      <w:r w:rsidRPr="00605F78">
        <w:rPr>
          <w:lang w:val="it-IT"/>
        </w:rPr>
        <w:t>Parigi, Bonn e Washington</w:t>
      </w:r>
      <w:r>
        <w:rPr>
          <w:rStyle w:val="Rimandonotaapidipagina"/>
          <w:lang w:val="it-IT"/>
        </w:rPr>
        <w:footnoteReference w:id="10"/>
      </w:r>
      <w:r w:rsidRPr="00605F78">
        <w:rPr>
          <w:lang w:val="it-IT"/>
        </w:rPr>
        <w:t xml:space="preserve">. </w:t>
      </w:r>
      <w:r>
        <w:rPr>
          <w:lang w:val="it-IT"/>
        </w:rPr>
        <w:t xml:space="preserve">Per l’approccio, l’utilizzo delle fonti, e l’interesse verso il contesto internazionale, l’opera di </w:t>
      </w:r>
      <w:proofErr w:type="spellStart"/>
      <w:r>
        <w:rPr>
          <w:lang w:val="it-IT"/>
        </w:rPr>
        <w:t>Pleskot</w:t>
      </w:r>
      <w:proofErr w:type="spellEnd"/>
      <w:r>
        <w:rPr>
          <w:lang w:val="it-IT"/>
        </w:rPr>
        <w:t xml:space="preserve"> è sicuramente uno dei modelli da cui questa ricerca si è mossa. </w:t>
      </w:r>
      <w:r w:rsidRPr="00F00AB7">
        <w:rPr>
          <w:lang w:val="it-IT"/>
        </w:rPr>
        <w:t xml:space="preserve">Un altro contributo di rilievo è offerto dal volume curato da Lee </w:t>
      </w:r>
      <w:proofErr w:type="spellStart"/>
      <w:r w:rsidRPr="00F00AB7">
        <w:rPr>
          <w:lang w:val="it-IT"/>
        </w:rPr>
        <w:t>Trepanier</w:t>
      </w:r>
      <w:proofErr w:type="spellEnd"/>
      <w:r w:rsidRPr="00F00AB7">
        <w:rPr>
          <w:lang w:val="it-IT"/>
        </w:rPr>
        <w:t xml:space="preserve"> e </w:t>
      </w:r>
      <w:proofErr w:type="spellStart"/>
      <w:r w:rsidRPr="00F00AB7">
        <w:rPr>
          <w:lang w:val="it-IT"/>
        </w:rPr>
        <w:t>Spasimir</w:t>
      </w:r>
      <w:proofErr w:type="spellEnd"/>
      <w:r w:rsidRPr="00F00AB7">
        <w:rPr>
          <w:lang w:val="it-IT"/>
        </w:rPr>
        <w:t xml:space="preserve"> </w:t>
      </w:r>
      <w:proofErr w:type="spellStart"/>
      <w:r w:rsidRPr="00F00AB7">
        <w:rPr>
          <w:lang w:val="it-IT"/>
        </w:rPr>
        <w:t>Domaradzki</w:t>
      </w:r>
      <w:proofErr w:type="spellEnd"/>
      <w:r w:rsidRPr="00F00AB7">
        <w:rPr>
          <w:lang w:val="it-IT"/>
        </w:rPr>
        <w:t xml:space="preserve">, che include l'importante </w:t>
      </w:r>
      <w:r w:rsidR="00954C10">
        <w:rPr>
          <w:lang w:val="it-IT"/>
        </w:rPr>
        <w:t>contributo</w:t>
      </w:r>
      <w:r w:rsidRPr="00F00AB7">
        <w:rPr>
          <w:lang w:val="it-IT"/>
        </w:rPr>
        <w:t xml:space="preserve"> dello storico Mark Kramer</w:t>
      </w:r>
      <w:r>
        <w:rPr>
          <w:rStyle w:val="Rimandonotaapidipagina"/>
          <w:lang w:val="it-IT"/>
        </w:rPr>
        <w:footnoteReference w:id="11"/>
      </w:r>
      <w:r w:rsidRPr="00605F78">
        <w:rPr>
          <w:lang w:val="it-IT"/>
        </w:rPr>
        <w:t>.</w:t>
      </w:r>
      <w:r>
        <w:rPr>
          <w:lang w:val="it-IT"/>
        </w:rPr>
        <w:t xml:space="preserve"> </w:t>
      </w:r>
      <w:r w:rsidR="00734F43">
        <w:rPr>
          <w:lang w:val="it-IT"/>
        </w:rPr>
        <w:t>Lo studio</w:t>
      </w:r>
      <w:r w:rsidRPr="00F00AB7">
        <w:rPr>
          <w:lang w:val="it-IT"/>
        </w:rPr>
        <w:t xml:space="preserve"> si distingue per l’analisi delle percezioni di Solidarność dal punto di vista del blocco sovietico, offrendo così un’ulteriore chiave di lettura del fenomeno. A livello </w:t>
      </w:r>
      <w:r w:rsidRPr="0072277F">
        <w:rPr>
          <w:lang w:val="it-IT"/>
        </w:rPr>
        <w:t>internazionale, un</w:t>
      </w:r>
      <w:r w:rsidR="00734F43" w:rsidRPr="0072277F">
        <w:rPr>
          <w:lang w:val="it-IT"/>
        </w:rPr>
        <w:t xml:space="preserve"> lavoro </w:t>
      </w:r>
      <w:r w:rsidRPr="0072277F">
        <w:rPr>
          <w:lang w:val="it-IT"/>
        </w:rPr>
        <w:t xml:space="preserve">pionieristico è quello di Helen </w:t>
      </w:r>
      <w:proofErr w:type="spellStart"/>
      <w:r w:rsidRPr="0072277F">
        <w:rPr>
          <w:lang w:val="it-IT"/>
        </w:rPr>
        <w:t>Sjursen</w:t>
      </w:r>
      <w:proofErr w:type="spellEnd"/>
      <w:r w:rsidRPr="0072277F">
        <w:rPr>
          <w:lang w:val="it-IT"/>
        </w:rPr>
        <w:t>, che per prima ha esteso l’analisi alle reazioni europee, oltre a quelle statunitensi</w:t>
      </w:r>
      <w:r w:rsidRPr="0072277F">
        <w:rPr>
          <w:rStyle w:val="Rimandonotaapidipagina"/>
          <w:lang w:val="it-IT"/>
        </w:rPr>
        <w:footnoteReference w:id="12"/>
      </w:r>
      <w:r w:rsidRPr="0072277F">
        <w:rPr>
          <w:lang w:val="it-IT"/>
        </w:rPr>
        <w:t xml:space="preserve">. Per </w:t>
      </w:r>
      <w:r w:rsidR="0072277F">
        <w:rPr>
          <w:lang w:val="it-IT"/>
        </w:rPr>
        <w:t>il caso statunitense</w:t>
      </w:r>
      <w:r w:rsidRPr="0072277F">
        <w:rPr>
          <w:lang w:val="it-IT"/>
        </w:rPr>
        <w:t>, il lavoro di Gregory Domber rappresenta</w:t>
      </w:r>
      <w:r w:rsidRPr="00F00AB7">
        <w:rPr>
          <w:lang w:val="it-IT"/>
        </w:rPr>
        <w:t xml:space="preserve"> un riferimento essenziale</w:t>
      </w:r>
      <w:r>
        <w:rPr>
          <w:rStyle w:val="Rimandonotaapidipagina"/>
          <w:lang w:val="it-IT"/>
        </w:rPr>
        <w:footnoteReference w:id="13"/>
      </w:r>
      <w:r w:rsidRPr="00F00AB7">
        <w:rPr>
          <w:lang w:val="it-IT"/>
        </w:rPr>
        <w:t>.</w:t>
      </w:r>
      <w:r>
        <w:rPr>
          <w:lang w:val="it-IT"/>
        </w:rPr>
        <w:t xml:space="preserve"> </w:t>
      </w:r>
      <w:r w:rsidRPr="00F00AB7">
        <w:rPr>
          <w:lang w:val="it-IT"/>
        </w:rPr>
        <w:t>Anche all'interno di questo filone di ricerca l'Italia è frequentemente citata come un attore di primo piano nei rapporti con Solidarność e con la Polonia. Tuttavia, l’accesso limitato ai documenti del Ministero degli Affari Esteri</w:t>
      </w:r>
      <w:r w:rsidR="00E04886">
        <w:rPr>
          <w:lang w:val="it-IT"/>
        </w:rPr>
        <w:t xml:space="preserve"> (MAECI)</w:t>
      </w:r>
      <w:r w:rsidRPr="00F00AB7">
        <w:rPr>
          <w:lang w:val="it-IT"/>
        </w:rPr>
        <w:t xml:space="preserve">, fino a tempi recenti, ha ostacolato lo sviluppo di studi approfonditi sull’argomento. Alcuni tentativi in questa direzione si sono basati su fonti alternative, </w:t>
      </w:r>
      <w:r w:rsidR="00734F43">
        <w:rPr>
          <w:lang w:val="it-IT"/>
        </w:rPr>
        <w:t>quali</w:t>
      </w:r>
      <w:r w:rsidRPr="00F00AB7">
        <w:rPr>
          <w:lang w:val="it-IT"/>
        </w:rPr>
        <w:t xml:space="preserve"> gli archivi di fondazioni legate a partiti politici o </w:t>
      </w:r>
      <w:r w:rsidR="00734F43">
        <w:rPr>
          <w:lang w:val="it-IT"/>
        </w:rPr>
        <w:t xml:space="preserve">i </w:t>
      </w:r>
      <w:r w:rsidRPr="00F00AB7">
        <w:rPr>
          <w:lang w:val="it-IT"/>
        </w:rPr>
        <w:t>documenti personali, come dimostra i</w:t>
      </w:r>
      <w:r w:rsidR="00E04886">
        <w:rPr>
          <w:lang w:val="it-IT"/>
        </w:rPr>
        <w:t>l</w:t>
      </w:r>
      <w:r w:rsidRPr="00F00AB7">
        <w:rPr>
          <w:lang w:val="it-IT"/>
        </w:rPr>
        <w:t xml:space="preserve"> lavor</w:t>
      </w:r>
      <w:r w:rsidR="00E04886">
        <w:rPr>
          <w:lang w:val="it-IT"/>
        </w:rPr>
        <w:t>o</w:t>
      </w:r>
      <w:r w:rsidRPr="00F00AB7">
        <w:rPr>
          <w:lang w:val="it-IT"/>
        </w:rPr>
        <w:t xml:space="preserve"> di Sara Tavani</w:t>
      </w:r>
      <w:r>
        <w:rPr>
          <w:rStyle w:val="Rimandonotaapidipagina"/>
          <w:lang w:val="it-IT"/>
        </w:rPr>
        <w:footnoteReference w:id="14"/>
      </w:r>
      <w:r w:rsidRPr="00F00AB7">
        <w:rPr>
          <w:lang w:val="it-IT"/>
        </w:rPr>
        <w:t>.</w:t>
      </w:r>
      <w:r>
        <w:rPr>
          <w:lang w:val="it-IT"/>
        </w:rPr>
        <w:t xml:space="preserve"> </w:t>
      </w:r>
      <w:r w:rsidR="001E7A05">
        <w:rPr>
          <w:lang w:val="it-IT"/>
        </w:rPr>
        <w:t xml:space="preserve">La mia </w:t>
      </w:r>
      <w:r w:rsidRPr="00F00AB7">
        <w:rPr>
          <w:lang w:val="it-IT"/>
        </w:rPr>
        <w:t xml:space="preserve">ricerca </w:t>
      </w:r>
      <w:r w:rsidR="00734F43">
        <w:rPr>
          <w:lang w:val="it-IT"/>
        </w:rPr>
        <w:t>punta a</w:t>
      </w:r>
      <w:r w:rsidRPr="00F00AB7">
        <w:rPr>
          <w:lang w:val="it-IT"/>
        </w:rPr>
        <w:t xml:space="preserve"> </w:t>
      </w:r>
      <w:r w:rsidRPr="0072277F">
        <w:rPr>
          <w:lang w:val="it-IT"/>
        </w:rPr>
        <w:t xml:space="preserve">colmare </w:t>
      </w:r>
      <w:r w:rsidR="001E7A05" w:rsidRPr="0072277F">
        <w:rPr>
          <w:lang w:val="it-IT"/>
        </w:rPr>
        <w:t>la lacuna su</w:t>
      </w:r>
      <w:r w:rsidR="00912E53" w:rsidRPr="0072277F">
        <w:rPr>
          <w:lang w:val="it-IT"/>
        </w:rPr>
        <w:t xml:space="preserve">lla posizione </w:t>
      </w:r>
      <w:r w:rsidR="00734F43" w:rsidRPr="0072277F">
        <w:rPr>
          <w:lang w:val="it-IT"/>
        </w:rPr>
        <w:t>italiana</w:t>
      </w:r>
      <w:r w:rsidRPr="0072277F">
        <w:rPr>
          <w:lang w:val="it-IT"/>
        </w:rPr>
        <w:t xml:space="preserve"> attraverso l’inedito utilizzo delle fonti del </w:t>
      </w:r>
      <w:r w:rsidR="00E04886">
        <w:rPr>
          <w:lang w:val="it-IT"/>
        </w:rPr>
        <w:t>MAECI</w:t>
      </w:r>
      <w:r w:rsidR="00912E53" w:rsidRPr="0072277F">
        <w:rPr>
          <w:lang w:val="it-IT"/>
        </w:rPr>
        <w:t xml:space="preserve">. L’accesso a questi materiali, </w:t>
      </w:r>
      <w:r w:rsidR="00734F43" w:rsidRPr="0072277F">
        <w:rPr>
          <w:lang w:val="it-IT"/>
        </w:rPr>
        <w:t>insieme allo studio</w:t>
      </w:r>
      <w:r w:rsidR="00912E53" w:rsidRPr="0072277F">
        <w:rPr>
          <w:lang w:val="it-IT"/>
        </w:rPr>
        <w:t xml:space="preserve"> </w:t>
      </w:r>
      <w:r w:rsidR="00734F43" w:rsidRPr="0072277F">
        <w:rPr>
          <w:lang w:val="it-IT"/>
        </w:rPr>
        <w:t>de</w:t>
      </w:r>
      <w:r w:rsidR="00912E53" w:rsidRPr="0072277F">
        <w:rPr>
          <w:lang w:val="it-IT"/>
        </w:rPr>
        <w:t>i documenti</w:t>
      </w:r>
      <w:r w:rsidRPr="0072277F">
        <w:rPr>
          <w:lang w:val="it-IT"/>
        </w:rPr>
        <w:t xml:space="preserve"> dell’Archivio Storico dell’Unione Europea</w:t>
      </w:r>
      <w:r w:rsidR="00734F43" w:rsidRPr="0072277F">
        <w:rPr>
          <w:lang w:val="it-IT"/>
        </w:rPr>
        <w:t>,</w:t>
      </w:r>
      <w:r w:rsidRPr="0072277F">
        <w:rPr>
          <w:lang w:val="it-IT"/>
        </w:rPr>
        <w:t xml:space="preserve"> permetterà di integrare e ampliare il prezioso lavoro svolto dagli studiosi </w:t>
      </w:r>
      <w:r w:rsidR="00734F43" w:rsidRPr="0072277F">
        <w:rPr>
          <w:lang w:val="it-IT"/>
        </w:rPr>
        <w:t>già citati</w:t>
      </w:r>
      <w:r w:rsidRPr="0072277F">
        <w:rPr>
          <w:lang w:val="it-IT"/>
        </w:rPr>
        <w:t>, arricchendo</w:t>
      </w:r>
      <w:r w:rsidRPr="00F00AB7">
        <w:rPr>
          <w:lang w:val="it-IT"/>
        </w:rPr>
        <w:t xml:space="preserve"> il quadro interpretativo con nuove evidenze </w:t>
      </w:r>
      <w:r w:rsidRPr="00F00AB7">
        <w:rPr>
          <w:lang w:val="it-IT"/>
        </w:rPr>
        <w:lastRenderedPageBreak/>
        <w:t>documentali e offrendo una prospettiva più completa sul ruolo dell'Italia</w:t>
      </w:r>
      <w:r w:rsidR="00912E53">
        <w:rPr>
          <w:lang w:val="it-IT"/>
        </w:rPr>
        <w:t xml:space="preserve"> e della Comunità europea</w:t>
      </w:r>
      <w:r w:rsidRPr="00F00AB7">
        <w:rPr>
          <w:lang w:val="it-IT"/>
        </w:rPr>
        <w:t xml:space="preserve"> nei rapporti con </w:t>
      </w:r>
      <w:r w:rsidRPr="00912E53">
        <w:rPr>
          <w:lang w:val="it-IT"/>
        </w:rPr>
        <w:t>Solidarność</w:t>
      </w:r>
      <w:r w:rsidRPr="00F00AB7">
        <w:rPr>
          <w:lang w:val="it-IT"/>
        </w:rPr>
        <w:t xml:space="preserve"> e la Polonia.</w:t>
      </w:r>
    </w:p>
    <w:p w14:paraId="2EEB9B6E" w14:textId="13AAE5F3" w:rsidR="00E04886" w:rsidRDefault="00070629" w:rsidP="001A1A50">
      <w:pPr>
        <w:pStyle w:val="NormaleWeb"/>
        <w:spacing w:before="0" w:beforeAutospacing="0" w:after="0" w:afterAutospacing="0" w:line="360" w:lineRule="auto"/>
        <w:ind w:firstLine="720"/>
        <w:jc w:val="both"/>
        <w:rPr>
          <w:lang w:val="it-IT"/>
        </w:rPr>
      </w:pPr>
      <w:r>
        <w:rPr>
          <w:lang w:val="it-IT"/>
        </w:rPr>
        <w:t>Infine, a</w:t>
      </w:r>
      <w:r w:rsidR="00BB2A54">
        <w:rPr>
          <w:lang w:val="it-IT"/>
        </w:rPr>
        <w:t xml:space="preserve">l quarto gruppo fanno riferimento tutti quegli studi che sono andati oltre alla concettualizzazione nazionale di </w:t>
      </w:r>
      <w:r>
        <w:rPr>
          <w:lang w:val="it-IT"/>
        </w:rPr>
        <w:t>Solidarność</w:t>
      </w:r>
      <w:r w:rsidR="00BB2A54">
        <w:rPr>
          <w:lang w:val="it-IT"/>
        </w:rPr>
        <w:t xml:space="preserve">, prendendone in considerazione anche la vicinanza al </w:t>
      </w:r>
      <w:r w:rsidR="00734F43">
        <w:rPr>
          <w:lang w:val="it-IT"/>
        </w:rPr>
        <w:t>tema</w:t>
      </w:r>
      <w:r w:rsidR="00BB2A54">
        <w:rPr>
          <w:lang w:val="it-IT"/>
        </w:rPr>
        <w:t xml:space="preserve"> dei diritti umani e </w:t>
      </w:r>
      <w:r w:rsidR="00734F43">
        <w:rPr>
          <w:lang w:val="it-IT"/>
        </w:rPr>
        <w:t>della</w:t>
      </w:r>
      <w:r w:rsidR="00BB2A54">
        <w:rPr>
          <w:lang w:val="it-IT"/>
        </w:rPr>
        <w:t xml:space="preserve"> dissidenza. Fra questi Brier ha fatto sicuramente il lavoro più completo, </w:t>
      </w:r>
      <w:r w:rsidRPr="0072277F">
        <w:rPr>
          <w:lang w:val="it-IT"/>
        </w:rPr>
        <w:t>analizzando l’evoluzione del</w:t>
      </w:r>
      <w:r w:rsidR="00734F43" w:rsidRPr="0072277F">
        <w:rPr>
          <w:lang w:val="it-IT"/>
        </w:rPr>
        <w:t>le riflessioni sui</w:t>
      </w:r>
      <w:r w:rsidRPr="0072277F">
        <w:rPr>
          <w:lang w:val="it-IT"/>
        </w:rPr>
        <w:t xml:space="preserve"> diritti umani nel rapporto fra </w:t>
      </w:r>
      <w:r w:rsidR="00211EAD" w:rsidRPr="0072277F">
        <w:rPr>
          <w:lang w:val="it-IT"/>
        </w:rPr>
        <w:t>Solidarność</w:t>
      </w:r>
      <w:r w:rsidRPr="0072277F">
        <w:rPr>
          <w:lang w:val="it-IT"/>
        </w:rPr>
        <w:t xml:space="preserve"> e i suoi alleati occidentali. Sul tema della dissidenza e della transnazionalità </w:t>
      </w:r>
      <w:r w:rsidR="00BB2A54" w:rsidRPr="0072277F">
        <w:rPr>
          <w:lang w:val="it-IT"/>
        </w:rPr>
        <w:t xml:space="preserve">si segnalano </w:t>
      </w:r>
      <w:r w:rsidRPr="0072277F">
        <w:rPr>
          <w:lang w:val="it-IT"/>
        </w:rPr>
        <w:t>invece</w:t>
      </w:r>
      <w:r w:rsidR="00BB2A54" w:rsidRPr="0072277F">
        <w:rPr>
          <w:lang w:val="it-IT"/>
        </w:rPr>
        <w:t xml:space="preserve"> </w:t>
      </w:r>
      <w:r w:rsidR="00734F43" w:rsidRPr="0072277F">
        <w:rPr>
          <w:lang w:val="it-IT"/>
        </w:rPr>
        <w:t xml:space="preserve">nuovamente </w:t>
      </w:r>
      <w:r w:rsidR="00BB2A54" w:rsidRPr="0072277F">
        <w:rPr>
          <w:lang w:val="it-IT"/>
        </w:rPr>
        <w:t xml:space="preserve">Berger, </w:t>
      </w:r>
      <w:proofErr w:type="spellStart"/>
      <w:r w:rsidR="00BB2A54" w:rsidRPr="0072277F">
        <w:rPr>
          <w:lang w:val="it-IT"/>
        </w:rPr>
        <w:t>Godeeris</w:t>
      </w:r>
      <w:proofErr w:type="spellEnd"/>
      <w:r w:rsidR="00BB2A54" w:rsidRPr="0072277F">
        <w:rPr>
          <w:lang w:val="it-IT"/>
        </w:rPr>
        <w:t xml:space="preserve"> e</w:t>
      </w:r>
      <w:r w:rsidR="00BB2A54">
        <w:rPr>
          <w:lang w:val="it-IT"/>
        </w:rPr>
        <w:t xml:space="preserve"> Boel</w:t>
      </w:r>
      <w:r>
        <w:rPr>
          <w:rStyle w:val="Rimandonotaapidipagina"/>
          <w:lang w:val="it-IT"/>
        </w:rPr>
        <w:footnoteReference w:id="15"/>
      </w:r>
      <w:r w:rsidR="00BB2A54">
        <w:rPr>
          <w:lang w:val="it-IT"/>
        </w:rPr>
        <w:t xml:space="preserve">. </w:t>
      </w:r>
      <w:r w:rsidR="00FA5D76">
        <w:rPr>
          <w:lang w:val="it-IT"/>
        </w:rPr>
        <w:t>Da un lato, l</w:t>
      </w:r>
      <w:r w:rsidR="00BB2A54">
        <w:rPr>
          <w:lang w:val="it-IT"/>
        </w:rPr>
        <w:t xml:space="preserve">a </w:t>
      </w:r>
      <w:r w:rsidR="00734F43">
        <w:rPr>
          <w:lang w:val="it-IT"/>
        </w:rPr>
        <w:t>mia</w:t>
      </w:r>
      <w:r w:rsidR="00BB2A54">
        <w:rPr>
          <w:lang w:val="it-IT"/>
        </w:rPr>
        <w:t xml:space="preserve"> ricerca attinge a questi studi che si pongono come una solida base per poter interpretare </w:t>
      </w:r>
      <w:r>
        <w:rPr>
          <w:lang w:val="it-IT"/>
        </w:rPr>
        <w:t>Solidarność</w:t>
      </w:r>
      <w:r w:rsidR="00BB2A54">
        <w:rPr>
          <w:lang w:val="it-IT"/>
        </w:rPr>
        <w:t xml:space="preserve"> non </w:t>
      </w:r>
      <w:r w:rsidR="00734F43">
        <w:rPr>
          <w:lang w:val="it-IT"/>
        </w:rPr>
        <w:t>solo</w:t>
      </w:r>
      <w:r w:rsidR="00BB2A54">
        <w:rPr>
          <w:lang w:val="it-IT"/>
        </w:rPr>
        <w:t xml:space="preserve"> secondo la sua fisonomia nazionale ma anche </w:t>
      </w:r>
      <w:r w:rsidR="00734F43">
        <w:rPr>
          <w:lang w:val="it-IT"/>
        </w:rPr>
        <w:t>in ragione di</w:t>
      </w:r>
      <w:r w:rsidR="00BB2A54">
        <w:rPr>
          <w:lang w:val="it-IT"/>
        </w:rPr>
        <w:t xml:space="preserve"> una lettura di storia transnazionale e </w:t>
      </w:r>
      <w:r>
        <w:rPr>
          <w:lang w:val="it-IT"/>
        </w:rPr>
        <w:t xml:space="preserve">di </w:t>
      </w:r>
      <w:r w:rsidR="0072277F" w:rsidRPr="0072277F">
        <w:rPr>
          <w:i/>
          <w:iCs/>
          <w:lang w:val="it-IT"/>
        </w:rPr>
        <w:t>new-</w:t>
      </w:r>
      <w:proofErr w:type="spellStart"/>
      <w:r w:rsidR="0072277F" w:rsidRPr="0072277F">
        <w:rPr>
          <w:i/>
          <w:iCs/>
          <w:lang w:val="it-IT"/>
        </w:rPr>
        <w:t>diplomatic</w:t>
      </w:r>
      <w:proofErr w:type="spellEnd"/>
      <w:r w:rsidR="0072277F" w:rsidRPr="0072277F">
        <w:rPr>
          <w:i/>
          <w:iCs/>
          <w:lang w:val="it-IT"/>
        </w:rPr>
        <w:t xml:space="preserve"> history</w:t>
      </w:r>
      <w:r>
        <w:rPr>
          <w:rStyle w:val="Rimandonotaapidipagina"/>
          <w:lang w:val="it-IT"/>
        </w:rPr>
        <w:footnoteReference w:id="16"/>
      </w:r>
      <w:r w:rsidR="00211EAD">
        <w:rPr>
          <w:lang w:val="it-IT"/>
        </w:rPr>
        <w:t>.</w:t>
      </w:r>
      <w:r>
        <w:rPr>
          <w:lang w:val="it-IT"/>
        </w:rPr>
        <w:t xml:space="preserve"> </w:t>
      </w:r>
      <w:r w:rsidR="00FA5D76" w:rsidRPr="00FA5D76">
        <w:rPr>
          <w:lang w:val="it-IT"/>
        </w:rPr>
        <w:t>Allo stesso tempo, però, me ne discosto, non tanto sul piano metodologico</w:t>
      </w:r>
      <w:r w:rsidR="00FA5D76">
        <w:rPr>
          <w:lang w:val="it-IT"/>
        </w:rPr>
        <w:t>,</w:t>
      </w:r>
      <w:r w:rsidR="00FA5D76" w:rsidRPr="00FA5D76">
        <w:rPr>
          <w:lang w:val="it-IT"/>
        </w:rPr>
        <w:t xml:space="preserve"> quanto su quello dei contenuti, evidenziando come Solidarność non abbia fatto immediato riferimento al linguaggio dei diritti umani né a quello degli Accordi di Helsinki.</w:t>
      </w:r>
      <w:r w:rsidR="00FA5D76">
        <w:rPr>
          <w:lang w:val="it-IT"/>
        </w:rPr>
        <w:t xml:space="preserve"> </w:t>
      </w:r>
    </w:p>
    <w:p w14:paraId="4FE44454" w14:textId="22840574" w:rsidR="00E04886" w:rsidRDefault="00801B8B" w:rsidP="001A1A50">
      <w:pPr>
        <w:pStyle w:val="NormaleWeb"/>
        <w:spacing w:before="0" w:beforeAutospacing="0" w:after="0" w:afterAutospacing="0" w:line="360" w:lineRule="auto"/>
        <w:ind w:firstLine="720"/>
        <w:jc w:val="both"/>
        <w:rPr>
          <w:lang w:val="it-IT"/>
        </w:rPr>
      </w:pPr>
      <w:r w:rsidRPr="00801B8B">
        <w:rPr>
          <w:lang w:val="it-IT"/>
        </w:rPr>
        <w:t xml:space="preserve">In conclusione, sebbene lo storico Piotr H. </w:t>
      </w:r>
      <w:proofErr w:type="spellStart"/>
      <w:r w:rsidRPr="00801B8B">
        <w:rPr>
          <w:lang w:val="it-IT"/>
        </w:rPr>
        <w:t>Kosicki</w:t>
      </w:r>
      <w:proofErr w:type="spellEnd"/>
      <w:r w:rsidRPr="00801B8B">
        <w:rPr>
          <w:lang w:val="it-IT"/>
        </w:rPr>
        <w:t xml:space="preserve"> </w:t>
      </w:r>
      <w:r w:rsidR="00E04886">
        <w:rPr>
          <w:lang w:val="it-IT"/>
        </w:rPr>
        <w:t xml:space="preserve">ritenga che </w:t>
      </w:r>
      <w:r w:rsidR="00E04886" w:rsidRPr="00E04886">
        <w:rPr>
          <w:lang w:val="it-IT"/>
        </w:rPr>
        <w:t>ampia storiografia su Solidarność possa far dubitare del valore di nuove analisi</w:t>
      </w:r>
      <w:r w:rsidR="00F10E4E">
        <w:rPr>
          <w:rStyle w:val="Rimandonotaapidipagina"/>
          <w:lang w:val="it-IT"/>
        </w:rPr>
        <w:footnoteReference w:id="17"/>
      </w:r>
      <w:r w:rsidRPr="00801B8B">
        <w:rPr>
          <w:lang w:val="it-IT"/>
        </w:rPr>
        <w:t xml:space="preserve">, </w:t>
      </w:r>
      <w:r w:rsidR="00A26CD6">
        <w:rPr>
          <w:lang w:val="it-IT"/>
        </w:rPr>
        <w:t>lo studio</w:t>
      </w:r>
      <w:r w:rsidRPr="00801B8B">
        <w:rPr>
          <w:lang w:val="it-IT"/>
        </w:rPr>
        <w:t xml:space="preserve"> della letteratura evidenzia una realtà </w:t>
      </w:r>
      <w:r w:rsidR="00734F43">
        <w:rPr>
          <w:lang w:val="it-IT"/>
        </w:rPr>
        <w:t>differente</w:t>
      </w:r>
      <w:r w:rsidRPr="00801B8B">
        <w:rPr>
          <w:lang w:val="it-IT"/>
        </w:rPr>
        <w:t>.</w:t>
      </w:r>
      <w:r>
        <w:rPr>
          <w:lang w:val="it-IT"/>
        </w:rPr>
        <w:t xml:space="preserve"> </w:t>
      </w:r>
      <w:r w:rsidRPr="00801B8B">
        <w:rPr>
          <w:lang w:val="it-IT"/>
        </w:rPr>
        <w:t>Pur essendo un tema ampiamente studiato, permangono</w:t>
      </w:r>
      <w:r w:rsidR="00734F43">
        <w:rPr>
          <w:lang w:val="it-IT"/>
        </w:rPr>
        <w:t xml:space="preserve"> infatti</w:t>
      </w:r>
      <w:r w:rsidRPr="00801B8B">
        <w:rPr>
          <w:lang w:val="it-IT"/>
        </w:rPr>
        <w:t xml:space="preserve"> significative lacune, soprattutto dal punto di vista storico</w:t>
      </w:r>
      <w:r w:rsidR="00734F43">
        <w:rPr>
          <w:lang w:val="it-IT"/>
        </w:rPr>
        <w:t>.</w:t>
      </w:r>
      <w:r w:rsidRPr="00801B8B">
        <w:rPr>
          <w:lang w:val="it-IT"/>
        </w:rPr>
        <w:t xml:space="preserve"> In particolare</w:t>
      </w:r>
      <w:r w:rsidR="00E04886">
        <w:rPr>
          <w:lang w:val="it-IT"/>
        </w:rPr>
        <w:t xml:space="preserve"> nei confronti dell’Italia</w:t>
      </w:r>
      <w:r w:rsidRPr="00801B8B">
        <w:rPr>
          <w:lang w:val="it-IT"/>
        </w:rPr>
        <w:t xml:space="preserve"> </w:t>
      </w:r>
      <w:r w:rsidR="00E04886">
        <w:rPr>
          <w:lang w:val="it-IT"/>
        </w:rPr>
        <w:t xml:space="preserve">e </w:t>
      </w:r>
      <w:r w:rsidRPr="00801B8B">
        <w:rPr>
          <w:lang w:val="it-IT"/>
        </w:rPr>
        <w:t>delle Comunità Europee, analizzat</w:t>
      </w:r>
      <w:r w:rsidR="00E04886">
        <w:rPr>
          <w:lang w:val="it-IT"/>
        </w:rPr>
        <w:t>e</w:t>
      </w:r>
      <w:r w:rsidRPr="00801B8B">
        <w:rPr>
          <w:lang w:val="it-IT"/>
        </w:rPr>
        <w:t xml:space="preserve"> indipendentemente dagli Stati Uniti o in potenziale contrasto con essi.</w:t>
      </w:r>
      <w:r>
        <w:rPr>
          <w:lang w:val="it-IT"/>
        </w:rPr>
        <w:t xml:space="preserve"> </w:t>
      </w:r>
      <w:r w:rsidRPr="00801B8B">
        <w:rPr>
          <w:lang w:val="it-IT"/>
        </w:rPr>
        <w:t xml:space="preserve">Inoltre, la letteratura esistente conferma la </w:t>
      </w:r>
      <w:r w:rsidR="00734F43">
        <w:rPr>
          <w:lang w:val="it-IT"/>
        </w:rPr>
        <w:t>necessità</w:t>
      </w:r>
      <w:r w:rsidRPr="00801B8B">
        <w:rPr>
          <w:lang w:val="it-IT"/>
        </w:rPr>
        <w:t xml:space="preserve"> di approfondire i due principali filoni interpretativi – quello sindacale e quello governativo – i quali, sebbene già oggetto di studio, sono stati raramente messi a confronto in maniera sistematica.</w:t>
      </w:r>
      <w:r>
        <w:rPr>
          <w:lang w:val="it-IT"/>
        </w:rPr>
        <w:t xml:space="preserve"> </w:t>
      </w:r>
    </w:p>
    <w:p w14:paraId="3C2C632B" w14:textId="77777777" w:rsidR="00A26CD6" w:rsidRPr="007F4A50" w:rsidRDefault="00A26CD6" w:rsidP="001A1A50">
      <w:pPr>
        <w:pStyle w:val="NormaleWeb"/>
        <w:spacing w:before="0" w:beforeAutospacing="0" w:after="0" w:afterAutospacing="0" w:line="360" w:lineRule="auto"/>
        <w:ind w:firstLine="720"/>
        <w:jc w:val="both"/>
        <w:rPr>
          <w:lang w:val="it-IT"/>
        </w:rPr>
      </w:pPr>
    </w:p>
    <w:p w14:paraId="631FCCAB" w14:textId="2DB68E80" w:rsidR="00ED1043" w:rsidRPr="00A1762E" w:rsidRDefault="00A1762E" w:rsidP="001A1A50">
      <w:pPr>
        <w:pStyle w:val="Corpotesto"/>
        <w:numPr>
          <w:ilvl w:val="0"/>
          <w:numId w:val="18"/>
        </w:numPr>
        <w:spacing w:line="360" w:lineRule="auto"/>
        <w:jc w:val="both"/>
        <w:rPr>
          <w:b/>
          <w:bCs/>
          <w:sz w:val="24"/>
          <w:szCs w:val="24"/>
        </w:rPr>
      </w:pPr>
      <w:r w:rsidRPr="00A1762E">
        <w:rPr>
          <w:b/>
          <w:bCs/>
          <w:sz w:val="24"/>
          <w:szCs w:val="24"/>
        </w:rPr>
        <w:t>Q</w:t>
      </w:r>
      <w:r w:rsidR="00ED1043" w:rsidRPr="00A1762E">
        <w:rPr>
          <w:b/>
          <w:bCs/>
          <w:sz w:val="24"/>
          <w:szCs w:val="24"/>
        </w:rPr>
        <w:t>uesito centrale della ricerca</w:t>
      </w:r>
    </w:p>
    <w:p w14:paraId="5EAC03AD" w14:textId="6CB382A3" w:rsidR="00ED1043" w:rsidRPr="00894EE3" w:rsidRDefault="00ED1043" w:rsidP="001A1A50">
      <w:pPr>
        <w:pStyle w:val="Corpotesto"/>
        <w:spacing w:line="360" w:lineRule="auto"/>
        <w:ind w:firstLine="709"/>
        <w:jc w:val="both"/>
        <w:rPr>
          <w:sz w:val="24"/>
          <w:szCs w:val="24"/>
        </w:rPr>
      </w:pPr>
      <w:r w:rsidRPr="00894EE3">
        <w:rPr>
          <w:sz w:val="24"/>
          <w:szCs w:val="24"/>
        </w:rPr>
        <w:t>Il progetto nella sua fase iniziale si era posto l’obiettivo di studiare l’effetto degli eventi</w:t>
      </w:r>
      <w:r w:rsidR="00DB267D">
        <w:rPr>
          <w:sz w:val="24"/>
          <w:szCs w:val="24"/>
        </w:rPr>
        <w:t xml:space="preserve"> </w:t>
      </w:r>
      <w:r w:rsidRPr="00894EE3">
        <w:rPr>
          <w:sz w:val="24"/>
          <w:szCs w:val="24"/>
        </w:rPr>
        <w:t>polacchi del 1980 (nascita di Solidarność) sugli esiti internazionali del 1989 (fine della Guerra</w:t>
      </w:r>
      <w:r w:rsidR="00894EE3">
        <w:rPr>
          <w:sz w:val="24"/>
          <w:szCs w:val="24"/>
        </w:rPr>
        <w:t xml:space="preserve"> </w:t>
      </w:r>
      <w:r w:rsidRPr="00894EE3">
        <w:rPr>
          <w:sz w:val="24"/>
          <w:szCs w:val="24"/>
        </w:rPr>
        <w:t>Fredda e avvicinamento polacco all’Unione Europea). Durante la ricerca è emerso come siano</w:t>
      </w:r>
      <w:r w:rsidR="00894EE3">
        <w:rPr>
          <w:sz w:val="24"/>
          <w:szCs w:val="24"/>
        </w:rPr>
        <w:t xml:space="preserve"> </w:t>
      </w:r>
      <w:r w:rsidRPr="00894EE3">
        <w:rPr>
          <w:sz w:val="24"/>
          <w:szCs w:val="24"/>
        </w:rPr>
        <w:t xml:space="preserve">possibili molteplici interpretazioni del movimento. Pertanto, l’interrogativo si è riorientato verso: </w:t>
      </w:r>
    </w:p>
    <w:p w14:paraId="51420C99" w14:textId="77777777" w:rsidR="00801B8B" w:rsidRDefault="00801B8B" w:rsidP="001A1A50">
      <w:pPr>
        <w:pStyle w:val="Corpotesto"/>
        <w:spacing w:line="360" w:lineRule="auto"/>
        <w:ind w:firstLine="709"/>
        <w:jc w:val="both"/>
        <w:rPr>
          <w:i/>
          <w:iCs/>
          <w:sz w:val="24"/>
          <w:szCs w:val="24"/>
        </w:rPr>
      </w:pPr>
    </w:p>
    <w:p w14:paraId="2E32C16B" w14:textId="7443E806" w:rsidR="00894EE3" w:rsidRDefault="00DB267D" w:rsidP="001A1A50">
      <w:pPr>
        <w:pStyle w:val="Corpotesto"/>
        <w:spacing w:line="360" w:lineRule="auto"/>
        <w:ind w:firstLine="709"/>
        <w:jc w:val="center"/>
        <w:rPr>
          <w:i/>
          <w:iCs/>
          <w:sz w:val="24"/>
          <w:szCs w:val="24"/>
        </w:rPr>
      </w:pPr>
      <w:r>
        <w:rPr>
          <w:i/>
          <w:iCs/>
          <w:sz w:val="24"/>
          <w:szCs w:val="24"/>
        </w:rPr>
        <w:t>L</w:t>
      </w:r>
      <w:r w:rsidR="00ED1043" w:rsidRPr="00894EE3">
        <w:rPr>
          <w:i/>
          <w:iCs/>
          <w:sz w:val="24"/>
          <w:szCs w:val="24"/>
        </w:rPr>
        <w:t>a percezione occidentale di Solidarność è coerente con</w:t>
      </w:r>
      <w:r w:rsidR="00A92973">
        <w:rPr>
          <w:i/>
          <w:iCs/>
          <w:sz w:val="24"/>
          <w:szCs w:val="24"/>
        </w:rPr>
        <w:t xml:space="preserve"> la sua natura e</w:t>
      </w:r>
      <w:r w:rsidR="00ED1043" w:rsidRPr="00894EE3">
        <w:rPr>
          <w:i/>
          <w:iCs/>
          <w:sz w:val="24"/>
          <w:szCs w:val="24"/>
        </w:rPr>
        <w:t xml:space="preserve"> il</w:t>
      </w:r>
      <w:r w:rsidR="00A92973">
        <w:rPr>
          <w:i/>
          <w:iCs/>
          <w:sz w:val="24"/>
          <w:szCs w:val="24"/>
        </w:rPr>
        <w:t xml:space="preserve"> suo</w:t>
      </w:r>
      <w:r w:rsidR="00ED1043" w:rsidRPr="00894EE3">
        <w:rPr>
          <w:i/>
          <w:iCs/>
          <w:sz w:val="24"/>
          <w:szCs w:val="24"/>
        </w:rPr>
        <w:t xml:space="preserve"> ruolo?</w:t>
      </w:r>
    </w:p>
    <w:p w14:paraId="48D6C97F" w14:textId="77777777" w:rsidR="00801B8B" w:rsidRDefault="00801B8B" w:rsidP="001A1A50">
      <w:pPr>
        <w:pStyle w:val="Corpotesto"/>
        <w:spacing w:line="360" w:lineRule="auto"/>
        <w:ind w:firstLine="709"/>
        <w:jc w:val="both"/>
        <w:rPr>
          <w:sz w:val="24"/>
          <w:szCs w:val="24"/>
        </w:rPr>
      </w:pPr>
    </w:p>
    <w:p w14:paraId="36A09A11" w14:textId="244BA97A" w:rsidR="00ED1043" w:rsidRPr="00894EE3" w:rsidRDefault="00ED1043" w:rsidP="001A1A50">
      <w:pPr>
        <w:pStyle w:val="Corpotesto"/>
        <w:spacing w:line="360" w:lineRule="auto"/>
        <w:ind w:firstLine="709"/>
        <w:jc w:val="both"/>
        <w:rPr>
          <w:sz w:val="24"/>
          <w:szCs w:val="24"/>
        </w:rPr>
      </w:pPr>
      <w:r w:rsidRPr="00894EE3">
        <w:rPr>
          <w:sz w:val="24"/>
          <w:szCs w:val="24"/>
        </w:rPr>
        <w:lastRenderedPageBreak/>
        <w:t xml:space="preserve">Dallo studio della letteratura sono emerse </w:t>
      </w:r>
      <w:r w:rsidR="00DB267D">
        <w:rPr>
          <w:sz w:val="24"/>
          <w:szCs w:val="24"/>
        </w:rPr>
        <w:t xml:space="preserve">principalmente </w:t>
      </w:r>
      <w:r w:rsidRPr="00894EE3">
        <w:rPr>
          <w:sz w:val="24"/>
          <w:szCs w:val="24"/>
        </w:rPr>
        <w:t>due lacune</w:t>
      </w:r>
      <w:r w:rsidRPr="0072277F">
        <w:rPr>
          <w:sz w:val="24"/>
          <w:szCs w:val="24"/>
        </w:rPr>
        <w:t>,</w:t>
      </w:r>
      <w:r w:rsidR="00734F43" w:rsidRPr="0072277F">
        <w:rPr>
          <w:sz w:val="24"/>
          <w:szCs w:val="24"/>
        </w:rPr>
        <w:t xml:space="preserve"> da un lato</w:t>
      </w:r>
      <w:r w:rsidRPr="0072277F">
        <w:rPr>
          <w:sz w:val="24"/>
          <w:szCs w:val="24"/>
        </w:rPr>
        <w:t xml:space="preserve"> la comprensione del ruolo della</w:t>
      </w:r>
      <w:r w:rsidR="00894EE3" w:rsidRPr="0072277F">
        <w:rPr>
          <w:sz w:val="24"/>
          <w:szCs w:val="24"/>
        </w:rPr>
        <w:t xml:space="preserve"> </w:t>
      </w:r>
      <w:r w:rsidRPr="0072277F">
        <w:rPr>
          <w:sz w:val="24"/>
          <w:szCs w:val="24"/>
        </w:rPr>
        <w:t>Comunità Europea (come soggetto altro rispetto alla comunità</w:t>
      </w:r>
      <w:r w:rsidRPr="00894EE3">
        <w:rPr>
          <w:sz w:val="24"/>
          <w:szCs w:val="24"/>
        </w:rPr>
        <w:t xml:space="preserve"> transatlantica) e </w:t>
      </w:r>
      <w:r w:rsidR="00734F43">
        <w:rPr>
          <w:sz w:val="24"/>
          <w:szCs w:val="24"/>
        </w:rPr>
        <w:t xml:space="preserve">dall’altro la </w:t>
      </w:r>
      <w:r w:rsidR="00A92973">
        <w:rPr>
          <w:sz w:val="24"/>
          <w:szCs w:val="24"/>
        </w:rPr>
        <w:t>valutazione</w:t>
      </w:r>
      <w:r w:rsidR="00734F43">
        <w:rPr>
          <w:sz w:val="24"/>
          <w:szCs w:val="24"/>
        </w:rPr>
        <w:t xml:space="preserve"> del ruolo </w:t>
      </w:r>
      <w:r w:rsidRPr="00894EE3">
        <w:rPr>
          <w:sz w:val="24"/>
          <w:szCs w:val="24"/>
        </w:rPr>
        <w:t>della diplomazia</w:t>
      </w:r>
      <w:r w:rsidR="00894EE3">
        <w:rPr>
          <w:sz w:val="24"/>
          <w:szCs w:val="24"/>
        </w:rPr>
        <w:t xml:space="preserve"> </w:t>
      </w:r>
      <w:r w:rsidRPr="00894EE3">
        <w:rPr>
          <w:sz w:val="24"/>
          <w:szCs w:val="24"/>
        </w:rPr>
        <w:t>italiana (spesso citata come importante, ma mai approfondita). Dallo studio delle fonti primarie</w:t>
      </w:r>
      <w:r w:rsidR="00A26CD6">
        <w:rPr>
          <w:sz w:val="24"/>
          <w:szCs w:val="24"/>
        </w:rPr>
        <w:t xml:space="preserve"> ed il confronto con studiosi </w:t>
      </w:r>
      <w:r w:rsidRPr="00894EE3">
        <w:rPr>
          <w:sz w:val="24"/>
          <w:szCs w:val="24"/>
        </w:rPr>
        <w:t xml:space="preserve"> è</w:t>
      </w:r>
      <w:r w:rsidR="00894EE3">
        <w:rPr>
          <w:sz w:val="24"/>
          <w:szCs w:val="24"/>
        </w:rPr>
        <w:t xml:space="preserve"> </w:t>
      </w:r>
      <w:r w:rsidRPr="00894EE3">
        <w:rPr>
          <w:sz w:val="24"/>
          <w:szCs w:val="24"/>
        </w:rPr>
        <w:t xml:space="preserve">emersa poi la necessità di studiare separatamente la percezione che di </w:t>
      </w:r>
      <w:r w:rsidR="00972C34">
        <w:rPr>
          <w:sz w:val="24"/>
          <w:szCs w:val="24"/>
        </w:rPr>
        <w:t xml:space="preserve">Solidarność </w:t>
      </w:r>
      <w:r w:rsidRPr="00894EE3">
        <w:rPr>
          <w:sz w:val="24"/>
          <w:szCs w:val="24"/>
        </w:rPr>
        <w:t xml:space="preserve"> ebbero l’opinione </w:t>
      </w:r>
      <w:r w:rsidR="0097704A">
        <w:rPr>
          <w:sz w:val="24"/>
          <w:szCs w:val="24"/>
        </w:rPr>
        <w:t xml:space="preserve">pubblica e </w:t>
      </w:r>
      <w:r w:rsidRPr="00894EE3">
        <w:rPr>
          <w:sz w:val="24"/>
          <w:szCs w:val="24"/>
        </w:rPr>
        <w:t xml:space="preserve">la società civile (fonti sindacali) e </w:t>
      </w:r>
      <w:r w:rsidR="00A926A5">
        <w:rPr>
          <w:sz w:val="24"/>
          <w:szCs w:val="24"/>
        </w:rPr>
        <w:t xml:space="preserve">la </w:t>
      </w:r>
      <w:r w:rsidRPr="00894EE3">
        <w:rPr>
          <w:sz w:val="24"/>
          <w:szCs w:val="24"/>
        </w:rPr>
        <w:t>politica internazionale (fonti</w:t>
      </w:r>
      <w:r w:rsidR="00894EE3">
        <w:rPr>
          <w:sz w:val="24"/>
          <w:szCs w:val="24"/>
        </w:rPr>
        <w:t xml:space="preserve"> </w:t>
      </w:r>
      <w:r w:rsidRPr="00894EE3">
        <w:rPr>
          <w:sz w:val="24"/>
          <w:szCs w:val="24"/>
        </w:rPr>
        <w:t xml:space="preserve">diplomatiche). </w:t>
      </w:r>
      <w:r w:rsidR="00FA5D76">
        <w:rPr>
          <w:sz w:val="24"/>
          <w:szCs w:val="24"/>
        </w:rPr>
        <w:t xml:space="preserve">In questo quadro si inserisce poi </w:t>
      </w:r>
      <w:r w:rsidR="005F5DC6">
        <w:rPr>
          <w:sz w:val="24"/>
          <w:szCs w:val="24"/>
        </w:rPr>
        <w:t xml:space="preserve">anche </w:t>
      </w:r>
      <w:r w:rsidR="00FA5D76">
        <w:rPr>
          <w:sz w:val="24"/>
          <w:szCs w:val="24"/>
        </w:rPr>
        <w:t xml:space="preserve">l’evoluzione </w:t>
      </w:r>
      <w:r w:rsidR="005F5DC6">
        <w:rPr>
          <w:sz w:val="24"/>
          <w:szCs w:val="24"/>
        </w:rPr>
        <w:t xml:space="preserve">stessa </w:t>
      </w:r>
      <w:r w:rsidR="00FA5D76">
        <w:rPr>
          <w:sz w:val="24"/>
          <w:szCs w:val="24"/>
        </w:rPr>
        <w:t xml:space="preserve">che </w:t>
      </w:r>
      <w:r w:rsidR="00972C34">
        <w:rPr>
          <w:sz w:val="24"/>
          <w:szCs w:val="24"/>
        </w:rPr>
        <w:t xml:space="preserve">Solidarność </w:t>
      </w:r>
      <w:r w:rsidR="00FA5D76">
        <w:rPr>
          <w:sz w:val="24"/>
          <w:szCs w:val="24"/>
        </w:rPr>
        <w:t>ha avuto nel corso degli anni.</w:t>
      </w:r>
      <w:r w:rsidR="005F5DC6">
        <w:rPr>
          <w:sz w:val="24"/>
          <w:szCs w:val="24"/>
        </w:rPr>
        <w:t xml:space="preserve"> Nato come un movimento operaio dallo slancio dei lavoratori di Danzica, nei primi mesi si è dedicato principalmente a questioni carattere nazionale, curando da un lato il rapporto con il </w:t>
      </w:r>
      <w:r w:rsidR="00A26CD6">
        <w:rPr>
          <w:sz w:val="24"/>
          <w:szCs w:val="24"/>
        </w:rPr>
        <w:t>Partito Operaio Unificato Polacco</w:t>
      </w:r>
      <w:r w:rsidR="005F5DC6">
        <w:rPr>
          <w:sz w:val="24"/>
          <w:szCs w:val="24"/>
        </w:rPr>
        <w:t xml:space="preserve"> e, dall’altro, il rapporto interno con la propria base. Nel 1981, dopo un riconoscimento formale e la registrazione da parte del tribunale di Varsavia, si è aperto verso l’occidente, dapprima con i sindacati e, alla fine dell’anno, sviluppando rapporti anche con le rappresentanze diplomatiche occidentali. </w:t>
      </w:r>
      <w:r w:rsidRPr="00894EE3">
        <w:rPr>
          <w:sz w:val="24"/>
          <w:szCs w:val="24"/>
        </w:rPr>
        <w:t>Le diverse percezioni del movimento non si muovevano quindi solo trasversalmente</w:t>
      </w:r>
      <w:r w:rsidR="005F5DC6">
        <w:rPr>
          <w:sz w:val="24"/>
          <w:szCs w:val="24"/>
        </w:rPr>
        <w:t xml:space="preserve"> fra Polonia ed Europa,</w:t>
      </w:r>
      <w:r w:rsidR="00894EE3">
        <w:rPr>
          <w:sz w:val="24"/>
          <w:szCs w:val="24"/>
        </w:rPr>
        <w:t xml:space="preserve"> </w:t>
      </w:r>
      <w:r w:rsidRPr="00894EE3">
        <w:rPr>
          <w:sz w:val="24"/>
          <w:szCs w:val="24"/>
        </w:rPr>
        <w:t>ma anche longitudinalmente fra le componenti della società</w:t>
      </w:r>
      <w:r w:rsidR="005F5DC6">
        <w:rPr>
          <w:sz w:val="24"/>
          <w:szCs w:val="24"/>
        </w:rPr>
        <w:t xml:space="preserve">  come sindacati e diplomazia</w:t>
      </w:r>
      <w:r w:rsidRPr="00894EE3">
        <w:rPr>
          <w:sz w:val="24"/>
          <w:szCs w:val="24"/>
        </w:rPr>
        <w:t>. Grazie a questo approfondimento si è</w:t>
      </w:r>
      <w:r w:rsidR="00894EE3">
        <w:rPr>
          <w:sz w:val="24"/>
          <w:szCs w:val="24"/>
        </w:rPr>
        <w:t xml:space="preserve"> </w:t>
      </w:r>
      <w:r w:rsidRPr="00894EE3">
        <w:rPr>
          <w:sz w:val="24"/>
          <w:szCs w:val="24"/>
        </w:rPr>
        <w:t>giunti a quell</w:t>
      </w:r>
      <w:r w:rsidR="00CB08EF" w:rsidRPr="00894EE3">
        <w:rPr>
          <w:sz w:val="24"/>
          <w:szCs w:val="24"/>
        </w:rPr>
        <w:t>i</w:t>
      </w:r>
      <w:r w:rsidRPr="00894EE3">
        <w:rPr>
          <w:sz w:val="24"/>
          <w:szCs w:val="24"/>
        </w:rPr>
        <w:t xml:space="preserve"> che risulta</w:t>
      </w:r>
      <w:r w:rsidR="00CB08EF" w:rsidRPr="00894EE3">
        <w:rPr>
          <w:sz w:val="24"/>
          <w:szCs w:val="24"/>
        </w:rPr>
        <w:t>no</w:t>
      </w:r>
      <w:r w:rsidRPr="00894EE3">
        <w:rPr>
          <w:sz w:val="24"/>
          <w:szCs w:val="24"/>
        </w:rPr>
        <w:t xml:space="preserve"> essere </w:t>
      </w:r>
      <w:r w:rsidR="00CB08EF" w:rsidRPr="00894EE3">
        <w:rPr>
          <w:sz w:val="24"/>
          <w:szCs w:val="24"/>
        </w:rPr>
        <w:t>gli interrogativi</w:t>
      </w:r>
      <w:r w:rsidRPr="00894EE3">
        <w:rPr>
          <w:sz w:val="24"/>
          <w:szCs w:val="24"/>
        </w:rPr>
        <w:t xml:space="preserve"> final</w:t>
      </w:r>
      <w:r w:rsidR="00CB08EF" w:rsidRPr="00894EE3">
        <w:rPr>
          <w:sz w:val="24"/>
          <w:szCs w:val="24"/>
        </w:rPr>
        <w:t>i</w:t>
      </w:r>
      <w:r w:rsidRPr="00894EE3">
        <w:rPr>
          <w:sz w:val="24"/>
          <w:szCs w:val="24"/>
        </w:rPr>
        <w:t xml:space="preserve">: </w:t>
      </w:r>
    </w:p>
    <w:p w14:paraId="154F3AB9" w14:textId="77777777" w:rsidR="00ED1043" w:rsidRPr="00894EE3" w:rsidRDefault="00ED1043" w:rsidP="001A1A50">
      <w:pPr>
        <w:pStyle w:val="Corpotesto"/>
        <w:spacing w:line="360" w:lineRule="auto"/>
        <w:ind w:firstLine="709"/>
        <w:jc w:val="both"/>
        <w:rPr>
          <w:sz w:val="24"/>
          <w:szCs w:val="24"/>
        </w:rPr>
      </w:pPr>
    </w:p>
    <w:p w14:paraId="2FD2814C" w14:textId="73AF6B1A" w:rsidR="00894EE3" w:rsidRDefault="00CB08EF" w:rsidP="001A1A50">
      <w:pPr>
        <w:pStyle w:val="Corpotesto"/>
        <w:spacing w:line="360" w:lineRule="auto"/>
        <w:ind w:firstLine="709"/>
        <w:jc w:val="center"/>
        <w:rPr>
          <w:i/>
          <w:iCs/>
          <w:sz w:val="24"/>
          <w:szCs w:val="24"/>
        </w:rPr>
      </w:pPr>
      <w:r w:rsidRPr="00894EE3">
        <w:rPr>
          <w:i/>
          <w:iCs/>
          <w:sz w:val="24"/>
          <w:szCs w:val="24"/>
        </w:rPr>
        <w:t xml:space="preserve">Come </w:t>
      </w:r>
      <w:r w:rsidR="00E559BE">
        <w:rPr>
          <w:i/>
          <w:iCs/>
          <w:sz w:val="24"/>
          <w:szCs w:val="24"/>
        </w:rPr>
        <w:t>è cambiata</w:t>
      </w:r>
      <w:r w:rsidRPr="00894EE3">
        <w:rPr>
          <w:i/>
          <w:iCs/>
          <w:sz w:val="24"/>
          <w:szCs w:val="24"/>
        </w:rPr>
        <w:t xml:space="preserve"> la percezione di Solidarność da parte della Comunità Europea e dei suoi Stati membri tra il 1980 e il 1989, a livello sindacale e governativo?</w:t>
      </w:r>
    </w:p>
    <w:p w14:paraId="5C33F89C" w14:textId="50BAF840" w:rsidR="00ED1043" w:rsidRPr="00894EE3" w:rsidRDefault="00CB08EF" w:rsidP="001A1A50">
      <w:pPr>
        <w:pStyle w:val="Corpotesto"/>
        <w:spacing w:line="360" w:lineRule="auto"/>
        <w:ind w:firstLine="709"/>
        <w:jc w:val="center"/>
        <w:rPr>
          <w:i/>
          <w:iCs/>
          <w:sz w:val="24"/>
          <w:szCs w:val="24"/>
        </w:rPr>
      </w:pPr>
      <w:r w:rsidRPr="00894EE3">
        <w:rPr>
          <w:i/>
          <w:iCs/>
          <w:sz w:val="24"/>
          <w:szCs w:val="24"/>
        </w:rPr>
        <w:t>Quali furono le implicazioni per le relazioni transeuropee e transatlantiche?</w:t>
      </w:r>
    </w:p>
    <w:p w14:paraId="108AE1C9" w14:textId="77777777" w:rsidR="00CB08EF" w:rsidRDefault="00CB08EF" w:rsidP="001A1A50">
      <w:pPr>
        <w:pStyle w:val="Corpotesto"/>
        <w:spacing w:line="360" w:lineRule="auto"/>
        <w:jc w:val="both"/>
        <w:rPr>
          <w:sz w:val="24"/>
          <w:szCs w:val="24"/>
        </w:rPr>
      </w:pPr>
    </w:p>
    <w:p w14:paraId="1B11BBAA" w14:textId="2F436FCA" w:rsidR="004D7E97" w:rsidRDefault="003627F2" w:rsidP="001A1A50">
      <w:pPr>
        <w:pStyle w:val="Corpotesto"/>
        <w:spacing w:line="360" w:lineRule="auto"/>
        <w:ind w:firstLine="709"/>
        <w:jc w:val="both"/>
        <w:rPr>
          <w:sz w:val="24"/>
          <w:szCs w:val="24"/>
        </w:rPr>
      </w:pPr>
      <w:r w:rsidRPr="003627F2">
        <w:rPr>
          <w:sz w:val="24"/>
          <w:szCs w:val="24"/>
        </w:rPr>
        <w:t xml:space="preserve">Sebbene inizialmente il titolo e la domanda di ricerca </w:t>
      </w:r>
      <w:r>
        <w:rPr>
          <w:sz w:val="24"/>
          <w:szCs w:val="24"/>
        </w:rPr>
        <w:t xml:space="preserve">si </w:t>
      </w:r>
      <w:r w:rsidRPr="003627F2">
        <w:rPr>
          <w:sz w:val="24"/>
          <w:szCs w:val="24"/>
        </w:rPr>
        <w:t xml:space="preserve">focalizzassero sulla percezione internazionale di Solidarność in contrasto con la sua attività nazionale, l’analisi della bibliografia e delle fonti ha ampliato l’orizzonte di ricerca. </w:t>
      </w:r>
      <w:r w:rsidR="00F242F4" w:rsidRPr="00F242F4">
        <w:rPr>
          <w:sz w:val="24"/>
          <w:szCs w:val="24"/>
        </w:rPr>
        <w:t>Per il biennio 1980-1981 risulta più appropriato parlare delle strategie adottate da sindacati e governi europei nei confronti del movimento, piuttosto che di una percezione. Le diverse strategie, infatti, non furono il frutto di una percezione distorta, bensì rispecchiarono gli interessi specifici dei singoli attori e il modo in cui Solidarność si i</w:t>
      </w:r>
      <w:r w:rsidR="00F242F4">
        <w:rPr>
          <w:sz w:val="24"/>
          <w:szCs w:val="24"/>
        </w:rPr>
        <w:t xml:space="preserve">nserì </w:t>
      </w:r>
      <w:r w:rsidR="00F242F4" w:rsidRPr="00F242F4">
        <w:rPr>
          <w:sz w:val="24"/>
          <w:szCs w:val="24"/>
        </w:rPr>
        <w:t>nel contesto internazionale</w:t>
      </w:r>
      <w:r w:rsidR="00F242F4">
        <w:rPr>
          <w:sz w:val="24"/>
          <w:szCs w:val="24"/>
        </w:rPr>
        <w:t xml:space="preserve">. </w:t>
      </w:r>
      <w:r w:rsidRPr="003627F2">
        <w:rPr>
          <w:sz w:val="24"/>
          <w:szCs w:val="24"/>
        </w:rPr>
        <w:t xml:space="preserve">Fino alla metà del 1981, Solidarność </w:t>
      </w:r>
      <w:r w:rsidR="00A26CD6">
        <w:rPr>
          <w:sz w:val="24"/>
          <w:szCs w:val="24"/>
        </w:rPr>
        <w:t>interagì</w:t>
      </w:r>
      <w:r w:rsidRPr="003627F2">
        <w:rPr>
          <w:sz w:val="24"/>
          <w:szCs w:val="24"/>
        </w:rPr>
        <w:t xml:space="preserve"> principalmente con i sindacati</w:t>
      </w:r>
      <w:r w:rsidR="00A26CD6">
        <w:rPr>
          <w:sz w:val="24"/>
          <w:szCs w:val="24"/>
        </w:rPr>
        <w:t xml:space="preserve"> </w:t>
      </w:r>
      <w:r w:rsidRPr="003627F2">
        <w:rPr>
          <w:sz w:val="24"/>
          <w:szCs w:val="24"/>
        </w:rPr>
        <w:t xml:space="preserve">mentre per i governi europei non </w:t>
      </w:r>
      <w:r w:rsidR="00A26CD6">
        <w:rPr>
          <w:sz w:val="24"/>
          <w:szCs w:val="24"/>
        </w:rPr>
        <w:t>fu</w:t>
      </w:r>
      <w:r w:rsidRPr="003627F2">
        <w:rPr>
          <w:sz w:val="24"/>
          <w:szCs w:val="24"/>
        </w:rPr>
        <w:t xml:space="preserve"> un interlocutore </w:t>
      </w:r>
      <w:r w:rsidR="00A26CD6">
        <w:rPr>
          <w:sz w:val="24"/>
          <w:szCs w:val="24"/>
        </w:rPr>
        <w:t>diretto</w:t>
      </w:r>
      <w:r w:rsidRPr="003627F2">
        <w:rPr>
          <w:sz w:val="24"/>
          <w:szCs w:val="24"/>
        </w:rPr>
        <w:t>, ma un</w:t>
      </w:r>
      <w:r>
        <w:rPr>
          <w:sz w:val="24"/>
          <w:szCs w:val="24"/>
        </w:rPr>
        <w:t>o dei molti</w:t>
      </w:r>
      <w:r w:rsidRPr="003627F2">
        <w:rPr>
          <w:sz w:val="24"/>
          <w:szCs w:val="24"/>
        </w:rPr>
        <w:t xml:space="preserve"> element</w:t>
      </w:r>
      <w:r>
        <w:rPr>
          <w:sz w:val="24"/>
          <w:szCs w:val="24"/>
        </w:rPr>
        <w:t>i</w:t>
      </w:r>
      <w:r w:rsidRPr="003627F2">
        <w:rPr>
          <w:sz w:val="24"/>
          <w:szCs w:val="24"/>
        </w:rPr>
        <w:t xml:space="preserve"> </w:t>
      </w:r>
      <w:r>
        <w:rPr>
          <w:sz w:val="24"/>
          <w:szCs w:val="24"/>
        </w:rPr>
        <w:t>d</w:t>
      </w:r>
      <w:r w:rsidRPr="003627F2">
        <w:rPr>
          <w:sz w:val="24"/>
          <w:szCs w:val="24"/>
        </w:rPr>
        <w:t>ella politica internazionale.</w:t>
      </w:r>
      <w:r w:rsidR="00F25387">
        <w:rPr>
          <w:sz w:val="24"/>
          <w:szCs w:val="24"/>
        </w:rPr>
        <w:t xml:space="preserve"> </w:t>
      </w:r>
      <w:r w:rsidR="008D7E17">
        <w:rPr>
          <w:sz w:val="24"/>
          <w:szCs w:val="24"/>
        </w:rPr>
        <w:t xml:space="preserve"> </w:t>
      </w:r>
    </w:p>
    <w:p w14:paraId="7A27EC1A" w14:textId="0AD08A65" w:rsidR="00E67229" w:rsidRDefault="00DB267D" w:rsidP="001A1A50">
      <w:pPr>
        <w:pStyle w:val="Corpotesto"/>
        <w:spacing w:line="360" w:lineRule="auto"/>
        <w:ind w:firstLine="709"/>
        <w:jc w:val="both"/>
        <w:rPr>
          <w:sz w:val="24"/>
          <w:szCs w:val="24"/>
        </w:rPr>
      </w:pPr>
      <w:r w:rsidRPr="00D2555F">
        <w:rPr>
          <w:sz w:val="24"/>
          <w:szCs w:val="24"/>
        </w:rPr>
        <w:t xml:space="preserve">La questione della percezione riemerge con </w:t>
      </w:r>
      <w:r w:rsidR="0097704A" w:rsidRPr="00D2555F">
        <w:rPr>
          <w:sz w:val="24"/>
          <w:szCs w:val="24"/>
        </w:rPr>
        <w:t>forza</w:t>
      </w:r>
      <w:r w:rsidRPr="00D2555F">
        <w:rPr>
          <w:sz w:val="24"/>
          <w:szCs w:val="24"/>
        </w:rPr>
        <w:t xml:space="preserve"> dopo la legge marziale: in relazione al linguaggio dei diritti umani</w:t>
      </w:r>
      <w:r w:rsidR="0034042A" w:rsidRPr="00D2555F">
        <w:rPr>
          <w:sz w:val="24"/>
          <w:szCs w:val="24"/>
        </w:rPr>
        <w:t xml:space="preserve"> e </w:t>
      </w:r>
      <w:r w:rsidRPr="00D2555F">
        <w:rPr>
          <w:sz w:val="24"/>
          <w:szCs w:val="24"/>
        </w:rPr>
        <w:t xml:space="preserve">nella valutazione del leader del movimento, Lech </w:t>
      </w:r>
      <w:proofErr w:type="spellStart"/>
      <w:r w:rsidR="00D2555F">
        <w:rPr>
          <w:sz w:val="24"/>
          <w:szCs w:val="24"/>
        </w:rPr>
        <w:t>Wałęsa</w:t>
      </w:r>
      <w:proofErr w:type="spellEnd"/>
      <w:r w:rsidRPr="00D2555F">
        <w:rPr>
          <w:sz w:val="24"/>
          <w:szCs w:val="24"/>
        </w:rPr>
        <w:t>. Nel primo caso</w:t>
      </w:r>
      <w:r w:rsidR="00F25387" w:rsidRPr="00D2555F">
        <w:rPr>
          <w:sz w:val="24"/>
          <w:szCs w:val="24"/>
        </w:rPr>
        <w:t>, in occidente all</w:t>
      </w:r>
      <w:r w:rsidR="008D7E17" w:rsidRPr="00D2555F">
        <w:rPr>
          <w:sz w:val="24"/>
          <w:szCs w:val="24"/>
        </w:rPr>
        <w:t>’</w:t>
      </w:r>
      <w:r w:rsidR="00F25387" w:rsidRPr="00D2555F">
        <w:rPr>
          <w:sz w:val="24"/>
          <w:szCs w:val="24"/>
        </w:rPr>
        <w:t xml:space="preserve">ora e poi in sede storiografica, il movimento era percepito </w:t>
      </w:r>
      <w:r w:rsidR="00D2555F" w:rsidRPr="00D2555F">
        <w:rPr>
          <w:sz w:val="24"/>
          <w:szCs w:val="24"/>
        </w:rPr>
        <w:t xml:space="preserve">anche </w:t>
      </w:r>
      <w:r w:rsidR="00F25387" w:rsidRPr="00D2555F">
        <w:rPr>
          <w:sz w:val="24"/>
          <w:szCs w:val="24"/>
        </w:rPr>
        <w:t xml:space="preserve">come parte della dissidenza sviluppatasi nel contesto post-Helsinki, attribuendogli un ruolo centrale nella promozione dei diritti umani come strumento di pressione nella politica internazionale, in riferimento al cosiddetto </w:t>
      </w:r>
      <w:r w:rsidR="00F25387" w:rsidRPr="00D2555F">
        <w:rPr>
          <w:sz w:val="24"/>
          <w:szCs w:val="24"/>
        </w:rPr>
        <w:lastRenderedPageBreak/>
        <w:t>“effetto Helsinki”</w:t>
      </w:r>
      <w:r w:rsidR="00F25387" w:rsidRPr="00D2555F">
        <w:rPr>
          <w:rStyle w:val="Rimandonotaapidipagina"/>
          <w:sz w:val="24"/>
          <w:szCs w:val="24"/>
        </w:rPr>
        <w:footnoteReference w:id="18"/>
      </w:r>
      <w:r w:rsidR="00F25387" w:rsidRPr="00D2555F">
        <w:rPr>
          <w:sz w:val="24"/>
          <w:szCs w:val="24"/>
        </w:rPr>
        <w:t xml:space="preserve">. </w:t>
      </w:r>
      <w:r w:rsidRPr="00D2555F">
        <w:rPr>
          <w:sz w:val="24"/>
          <w:szCs w:val="24"/>
        </w:rPr>
        <w:t xml:space="preserve">I diritti umani </w:t>
      </w:r>
      <w:r w:rsidR="00D2555F" w:rsidRPr="00D2555F">
        <w:rPr>
          <w:sz w:val="24"/>
          <w:szCs w:val="24"/>
        </w:rPr>
        <w:t>tuttavia rimasero per lo più appannaggio dell’</w:t>
      </w:r>
      <w:proofErr w:type="spellStart"/>
      <w:r w:rsidR="00D2555F" w:rsidRPr="00D2555F">
        <w:rPr>
          <w:sz w:val="24"/>
          <w:szCs w:val="24"/>
        </w:rPr>
        <w:t>intelligentia</w:t>
      </w:r>
      <w:proofErr w:type="spellEnd"/>
      <w:r w:rsidR="00D2555F" w:rsidRPr="00D2555F">
        <w:rPr>
          <w:sz w:val="24"/>
          <w:szCs w:val="24"/>
        </w:rPr>
        <w:t xml:space="preserve">,  individuarono come target il blocco occidentale e </w:t>
      </w:r>
      <w:r w:rsidRPr="00D2555F">
        <w:rPr>
          <w:sz w:val="24"/>
          <w:szCs w:val="24"/>
        </w:rPr>
        <w:t>non furono un tema originario nel movimento</w:t>
      </w:r>
      <w:r w:rsidR="00A96339">
        <w:rPr>
          <w:sz w:val="24"/>
          <w:szCs w:val="24"/>
        </w:rPr>
        <w:t>.</w:t>
      </w:r>
      <w:r w:rsidR="00D2555F" w:rsidRPr="00D2555F">
        <w:rPr>
          <w:sz w:val="24"/>
          <w:szCs w:val="24"/>
        </w:rPr>
        <w:t xml:space="preserve"> </w:t>
      </w:r>
      <w:r w:rsidR="00A96339">
        <w:rPr>
          <w:sz w:val="24"/>
          <w:szCs w:val="24"/>
        </w:rPr>
        <w:t>Il richiamo ai diritti umani</w:t>
      </w:r>
      <w:r w:rsidRPr="00D2555F">
        <w:rPr>
          <w:sz w:val="24"/>
          <w:szCs w:val="24"/>
        </w:rPr>
        <w:t xml:space="preserve"> s</w:t>
      </w:r>
      <w:r w:rsidR="00A96339">
        <w:rPr>
          <w:sz w:val="24"/>
          <w:szCs w:val="24"/>
        </w:rPr>
        <w:t>i s</w:t>
      </w:r>
      <w:r w:rsidRPr="00D2555F">
        <w:rPr>
          <w:sz w:val="24"/>
          <w:szCs w:val="24"/>
        </w:rPr>
        <w:t>vilupp</w:t>
      </w:r>
      <w:r w:rsidR="00A96339">
        <w:rPr>
          <w:sz w:val="24"/>
          <w:szCs w:val="24"/>
        </w:rPr>
        <w:t>ò infatti</w:t>
      </w:r>
      <w:r w:rsidRPr="00D2555F">
        <w:rPr>
          <w:sz w:val="24"/>
          <w:szCs w:val="24"/>
        </w:rPr>
        <w:t xml:space="preserve"> </w:t>
      </w:r>
      <w:r w:rsidR="0097704A" w:rsidRPr="00D2555F">
        <w:rPr>
          <w:sz w:val="24"/>
          <w:szCs w:val="24"/>
        </w:rPr>
        <w:t xml:space="preserve">dopo la </w:t>
      </w:r>
      <w:r w:rsidR="00D2555F" w:rsidRPr="00D2555F">
        <w:rPr>
          <w:sz w:val="24"/>
          <w:szCs w:val="24"/>
        </w:rPr>
        <w:t>l</w:t>
      </w:r>
      <w:r w:rsidRPr="00D2555F">
        <w:rPr>
          <w:sz w:val="24"/>
          <w:szCs w:val="24"/>
        </w:rPr>
        <w:t>egge marziale</w:t>
      </w:r>
      <w:r w:rsidR="00F25387" w:rsidRPr="00D2555F">
        <w:rPr>
          <w:sz w:val="24"/>
          <w:szCs w:val="24"/>
        </w:rPr>
        <w:t xml:space="preserve"> per tenere le luci puntate sulla difficile situazione polacca quando, a metà degli anni Ottanta, i paesi europei forti della loro realpolitik preferirono i rapporti con la Polonia comunista, a discapito della condizione dei lavoratori polacchi</w:t>
      </w:r>
      <w:r w:rsidR="00D2555F" w:rsidRPr="00D2555F">
        <w:rPr>
          <w:sz w:val="24"/>
          <w:szCs w:val="24"/>
        </w:rPr>
        <w:t>.</w:t>
      </w:r>
      <w:r w:rsidR="00E67229">
        <w:rPr>
          <w:sz w:val="24"/>
          <w:szCs w:val="24"/>
        </w:rPr>
        <w:t xml:space="preserve"> </w:t>
      </w:r>
      <w:r w:rsidR="00E67229" w:rsidRPr="00E67229">
        <w:rPr>
          <w:sz w:val="24"/>
          <w:szCs w:val="24"/>
        </w:rPr>
        <w:t xml:space="preserve">Nel secondo caso, la figura di </w:t>
      </w:r>
      <w:proofErr w:type="spellStart"/>
      <w:r w:rsidR="00E67229" w:rsidRPr="00E67229">
        <w:rPr>
          <w:sz w:val="24"/>
          <w:szCs w:val="24"/>
        </w:rPr>
        <w:t>Wałęsa</w:t>
      </w:r>
      <w:proofErr w:type="spellEnd"/>
      <w:r w:rsidR="00E67229" w:rsidRPr="00E67229">
        <w:rPr>
          <w:sz w:val="24"/>
          <w:szCs w:val="24"/>
        </w:rPr>
        <w:t xml:space="preserve"> incarna in modo emblematico la dicotomia tra percezione internazionale e dinamiche interne al movimento. All’estero fu celebrato come un eroe, soprattutto dopo il conferimento del Premio Nobel per la Pace nel 1983</w:t>
      </w:r>
      <w:r w:rsidR="00E67229">
        <w:rPr>
          <w:sz w:val="24"/>
          <w:szCs w:val="24"/>
        </w:rPr>
        <w:t xml:space="preserve"> mentre a</w:t>
      </w:r>
      <w:r w:rsidR="00E67229" w:rsidRPr="00E67229">
        <w:rPr>
          <w:sz w:val="24"/>
          <w:szCs w:val="24"/>
        </w:rPr>
        <w:t>ll’interno di Solidarność</w:t>
      </w:r>
      <w:r w:rsidR="00E67229">
        <w:rPr>
          <w:sz w:val="24"/>
          <w:szCs w:val="24"/>
        </w:rPr>
        <w:t xml:space="preserve">, </w:t>
      </w:r>
      <w:r w:rsidR="00E67229" w:rsidRPr="00E67229">
        <w:rPr>
          <w:sz w:val="24"/>
          <w:szCs w:val="24"/>
        </w:rPr>
        <w:t>già a partire dal 1981 — e in modo ancor più marcato dal 1988 — iniziarono a emergere dubbi sulla sua capacità di leadership, mettendo in discussione l’efficacia del suo carisma di fronte a evidenti limiti sul piano politico e amministrativo.</w:t>
      </w:r>
    </w:p>
    <w:p w14:paraId="08988A22" w14:textId="77777777" w:rsidR="002E37ED" w:rsidRPr="00BB2A54" w:rsidRDefault="002E37ED" w:rsidP="001A1A50">
      <w:pPr>
        <w:pStyle w:val="Corpotesto"/>
        <w:spacing w:line="360" w:lineRule="auto"/>
        <w:ind w:firstLine="709"/>
        <w:jc w:val="both"/>
        <w:rPr>
          <w:sz w:val="24"/>
          <w:szCs w:val="24"/>
        </w:rPr>
      </w:pPr>
    </w:p>
    <w:p w14:paraId="1F11638A" w14:textId="069DF4F3" w:rsidR="00ED1043" w:rsidRDefault="00ED1043" w:rsidP="001A1A50">
      <w:pPr>
        <w:pStyle w:val="Corpotesto"/>
        <w:numPr>
          <w:ilvl w:val="0"/>
          <w:numId w:val="18"/>
        </w:numPr>
        <w:spacing w:line="360" w:lineRule="auto"/>
        <w:jc w:val="both"/>
        <w:rPr>
          <w:b/>
          <w:bCs/>
          <w:sz w:val="24"/>
          <w:szCs w:val="24"/>
        </w:rPr>
      </w:pPr>
      <w:r w:rsidRPr="0072277F">
        <w:rPr>
          <w:b/>
          <w:bCs/>
          <w:sz w:val="24"/>
          <w:szCs w:val="24"/>
        </w:rPr>
        <w:t>Metodologia della ricerca</w:t>
      </w:r>
      <w:r w:rsidR="002E37ED">
        <w:rPr>
          <w:b/>
          <w:bCs/>
          <w:sz w:val="24"/>
          <w:szCs w:val="24"/>
        </w:rPr>
        <w:t xml:space="preserve"> </w:t>
      </w:r>
      <w:r w:rsidR="008F0908" w:rsidRPr="00E26A52">
        <w:rPr>
          <w:b/>
          <w:bCs/>
          <w:sz w:val="24"/>
          <w:szCs w:val="24"/>
        </w:rPr>
        <w:t>e archivi</w:t>
      </w:r>
      <w:r w:rsidR="005F1B54">
        <w:rPr>
          <w:b/>
          <w:bCs/>
          <w:sz w:val="24"/>
          <w:szCs w:val="24"/>
        </w:rPr>
        <w:t>.</w:t>
      </w:r>
    </w:p>
    <w:p w14:paraId="12E63EED" w14:textId="43DB5CCE" w:rsidR="00464B2F" w:rsidRDefault="00DE0D46" w:rsidP="001A1A50">
      <w:pPr>
        <w:pStyle w:val="NormaleWeb"/>
        <w:spacing w:before="0" w:beforeAutospacing="0" w:after="0" w:afterAutospacing="0" w:line="360" w:lineRule="auto"/>
        <w:ind w:firstLine="720"/>
        <w:jc w:val="both"/>
        <w:rPr>
          <w:lang w:val="it-IT"/>
        </w:rPr>
      </w:pPr>
      <w:r w:rsidRPr="00DE0D46">
        <w:rPr>
          <w:lang w:val="it-IT"/>
        </w:rPr>
        <w:t>L'approccio principale adottato in questa ricerca è quello della storia transnazionale (</w:t>
      </w:r>
      <w:proofErr w:type="spellStart"/>
      <w:r w:rsidRPr="00DE0D46">
        <w:rPr>
          <w:rStyle w:val="Enfasicorsivo"/>
          <w:lang w:val="it-IT"/>
        </w:rPr>
        <w:t>Transnational</w:t>
      </w:r>
      <w:proofErr w:type="spellEnd"/>
      <w:r w:rsidRPr="00DE0D46">
        <w:rPr>
          <w:rStyle w:val="Enfasicorsivo"/>
          <w:lang w:val="it-IT"/>
        </w:rPr>
        <w:t xml:space="preserve"> History</w:t>
      </w:r>
      <w:r w:rsidRPr="00DE0D46">
        <w:rPr>
          <w:lang w:val="it-IT"/>
        </w:rPr>
        <w:t xml:space="preserve">, TH), definito da Akira </w:t>
      </w:r>
      <w:proofErr w:type="spellStart"/>
      <w:r w:rsidRPr="00DE0D46">
        <w:rPr>
          <w:lang w:val="it-IT"/>
        </w:rPr>
        <w:t>Iriye</w:t>
      </w:r>
      <w:proofErr w:type="spellEnd"/>
      <w:r w:rsidRPr="00DE0D46">
        <w:rPr>
          <w:lang w:val="it-IT"/>
        </w:rPr>
        <w:t xml:space="preserve"> e Pierre-Yves Saunier nell'introduzione del </w:t>
      </w:r>
      <w:proofErr w:type="spellStart"/>
      <w:r w:rsidRPr="00DE0D46">
        <w:rPr>
          <w:rStyle w:val="Enfasicorsivo"/>
          <w:lang w:val="it-IT"/>
        </w:rPr>
        <w:t>Palgrave</w:t>
      </w:r>
      <w:proofErr w:type="spellEnd"/>
      <w:r w:rsidRPr="00DE0D46">
        <w:rPr>
          <w:rStyle w:val="Enfasicorsivo"/>
          <w:lang w:val="it-IT"/>
        </w:rPr>
        <w:t xml:space="preserve"> Dictionary of </w:t>
      </w:r>
      <w:proofErr w:type="spellStart"/>
      <w:r w:rsidRPr="00DE0D46">
        <w:rPr>
          <w:rStyle w:val="Enfasicorsivo"/>
          <w:lang w:val="it-IT"/>
        </w:rPr>
        <w:t>Transnational</w:t>
      </w:r>
      <w:proofErr w:type="spellEnd"/>
      <w:r w:rsidRPr="00DE0D46">
        <w:rPr>
          <w:rStyle w:val="Enfasicorsivo"/>
          <w:lang w:val="it-IT"/>
        </w:rPr>
        <w:t xml:space="preserve"> History</w:t>
      </w:r>
      <w:r w:rsidRPr="00DE0D46">
        <w:rPr>
          <w:lang w:val="it-IT"/>
        </w:rPr>
        <w:t xml:space="preserve"> come una prospettiva che mette in discussione la narrazione storica incentrata sugli Stati nazionali, concentrandosi invece sui «collegamenti e flussi, […] le persone, le idee, i prodotti, i processi e i modelli che operano oltre, attraverso, al di là o tra le entità politiche e le </w:t>
      </w:r>
      <w:r w:rsidRPr="00B463FD">
        <w:rPr>
          <w:lang w:val="it-IT"/>
        </w:rPr>
        <w:t>società»</w:t>
      </w:r>
      <w:r w:rsidR="00B463FD" w:rsidRPr="00B463FD">
        <w:rPr>
          <w:rStyle w:val="Rimandonotaapidipagina"/>
          <w:lang w:val="it-IT"/>
        </w:rPr>
        <w:footnoteReference w:id="19"/>
      </w:r>
      <w:r w:rsidRPr="00B463FD">
        <w:rPr>
          <w:lang w:val="it-IT"/>
        </w:rPr>
        <w:t xml:space="preserve">. </w:t>
      </w:r>
      <w:r w:rsidR="003D13DE">
        <w:rPr>
          <w:lang w:val="it-IT"/>
        </w:rPr>
        <w:t>L</w:t>
      </w:r>
      <w:r w:rsidRPr="00DE0D46">
        <w:rPr>
          <w:lang w:val="it-IT"/>
        </w:rPr>
        <w:t xml:space="preserve">a storia transnazionale consente di ricostruire un quadro più ampio della storia internazionale degli anni Ottanta, analizzando non solo i governi, ma anche i movimenti e gli individui che hanno contribuito a modellare le relazioni </w:t>
      </w:r>
      <w:r w:rsidRPr="00B463FD">
        <w:rPr>
          <w:lang w:val="it-IT"/>
        </w:rPr>
        <w:t>internazionali</w:t>
      </w:r>
      <w:r w:rsidR="00B463FD" w:rsidRPr="00B463FD">
        <w:rPr>
          <w:rStyle w:val="Rimandonotaapidipagina"/>
          <w:lang w:val="it-IT"/>
        </w:rPr>
        <w:footnoteReference w:id="20"/>
      </w:r>
      <w:r w:rsidRPr="00B463FD">
        <w:rPr>
          <w:lang w:val="it-IT"/>
        </w:rPr>
        <w:t>.</w:t>
      </w:r>
      <w:r w:rsidRPr="00DE0D46">
        <w:rPr>
          <w:lang w:val="it-IT"/>
        </w:rPr>
        <w:t xml:space="preserve"> È proprio questo il caso della </w:t>
      </w:r>
      <w:r w:rsidR="0097704A">
        <w:rPr>
          <w:lang w:val="it-IT"/>
        </w:rPr>
        <w:t xml:space="preserve">mia </w:t>
      </w:r>
      <w:r w:rsidRPr="00DE0D46">
        <w:rPr>
          <w:lang w:val="it-IT"/>
        </w:rPr>
        <w:t>ricerca, che si propone di indagare il ruolo di un movimento politico e sociale</w:t>
      </w:r>
      <w:r w:rsidR="00B463FD">
        <w:rPr>
          <w:lang w:val="it-IT"/>
        </w:rPr>
        <w:t xml:space="preserve"> che</w:t>
      </w:r>
      <w:r w:rsidR="0097704A">
        <w:rPr>
          <w:lang w:val="it-IT"/>
        </w:rPr>
        <w:t>,</w:t>
      </w:r>
      <w:r w:rsidR="00B463FD">
        <w:rPr>
          <w:lang w:val="it-IT"/>
        </w:rPr>
        <w:t xml:space="preserve"> nato in Polonia</w:t>
      </w:r>
      <w:r w:rsidR="0097704A">
        <w:rPr>
          <w:lang w:val="it-IT"/>
        </w:rPr>
        <w:t>,</w:t>
      </w:r>
      <w:r w:rsidR="00B463FD">
        <w:rPr>
          <w:lang w:val="it-IT"/>
        </w:rPr>
        <w:t xml:space="preserve"> sviluppò </w:t>
      </w:r>
      <w:r w:rsidR="00E67229">
        <w:rPr>
          <w:lang w:val="it-IT"/>
        </w:rPr>
        <w:t>la propria rete</w:t>
      </w:r>
      <w:r w:rsidR="00B463FD">
        <w:rPr>
          <w:lang w:val="it-IT"/>
        </w:rPr>
        <w:t xml:space="preserve"> in occidente.</w:t>
      </w:r>
      <w:r w:rsidR="00E066B1">
        <w:rPr>
          <w:lang w:val="it-IT"/>
        </w:rPr>
        <w:t xml:space="preserve"> </w:t>
      </w:r>
      <w:r w:rsidR="003D13DE" w:rsidRPr="003D13DE">
        <w:rPr>
          <w:lang w:val="it-IT"/>
        </w:rPr>
        <w:t>In questa prospettiva, pur utile sul piano metodologico, la storia transnazionale non va intesa come separata dalla storia internazionale. Come osserva Snyder, è piuttosto un approccio che consente agli storici internazionali di ampliare l’analisi, includendo nuovi attori e interrogativi, e raggiungendo un pubblico più ampio</w:t>
      </w:r>
      <w:r w:rsidR="00B463FD" w:rsidRPr="00B463FD">
        <w:rPr>
          <w:rStyle w:val="Rimandonotaapidipagina"/>
          <w:lang w:val="it-IT"/>
        </w:rPr>
        <w:footnoteReference w:id="21"/>
      </w:r>
      <w:r w:rsidRPr="00B463FD">
        <w:rPr>
          <w:lang w:val="it-IT"/>
        </w:rPr>
        <w:t>.</w:t>
      </w:r>
    </w:p>
    <w:p w14:paraId="5467DE66" w14:textId="795A22B2" w:rsidR="00B463FD" w:rsidRDefault="003D13DE" w:rsidP="001A1A50">
      <w:pPr>
        <w:pStyle w:val="NormaleWeb"/>
        <w:spacing w:before="0" w:beforeAutospacing="0" w:after="0" w:afterAutospacing="0" w:line="360" w:lineRule="auto"/>
        <w:ind w:firstLine="720"/>
        <w:jc w:val="both"/>
        <w:rPr>
          <w:lang w:val="it-IT"/>
        </w:rPr>
      </w:pPr>
      <w:r>
        <w:rPr>
          <w:lang w:val="it-IT"/>
        </w:rPr>
        <w:t>La</w:t>
      </w:r>
      <w:r w:rsidR="00DE0D46" w:rsidRPr="00DE0D46">
        <w:rPr>
          <w:lang w:val="it-IT"/>
        </w:rPr>
        <w:t xml:space="preserve"> forte radice nazionale del movimento</w:t>
      </w:r>
      <w:r>
        <w:rPr>
          <w:lang w:val="it-IT"/>
        </w:rPr>
        <w:t>, tuttavia,</w:t>
      </w:r>
      <w:r w:rsidR="00B463FD">
        <w:rPr>
          <w:lang w:val="it-IT"/>
        </w:rPr>
        <w:t xml:space="preserve"> </w:t>
      </w:r>
      <w:r w:rsidR="00464B2F">
        <w:rPr>
          <w:lang w:val="it-IT"/>
        </w:rPr>
        <w:t>permane ed è</w:t>
      </w:r>
      <w:r w:rsidR="00B463FD">
        <w:rPr>
          <w:lang w:val="it-IT"/>
        </w:rPr>
        <w:t xml:space="preserve"> innegabile.</w:t>
      </w:r>
      <w:r w:rsidR="00DE0D46" w:rsidRPr="00DE0D46">
        <w:rPr>
          <w:lang w:val="it-IT"/>
        </w:rPr>
        <w:t xml:space="preserve"> Di conseguenza, l’approccio transnazionale </w:t>
      </w:r>
      <w:r w:rsidR="0097704A">
        <w:rPr>
          <w:lang w:val="it-IT"/>
        </w:rPr>
        <w:t>viene</w:t>
      </w:r>
      <w:r w:rsidR="00DE0D46" w:rsidRPr="00DE0D46">
        <w:rPr>
          <w:lang w:val="it-IT"/>
        </w:rPr>
        <w:t xml:space="preserve"> integrato, quando necessario, con un approccio comparativo che metta in evidenza le differenze tra l’interpretazione nazionale e quella internazionale del fenomeno.</w:t>
      </w:r>
      <w:r w:rsidR="00B463FD">
        <w:rPr>
          <w:lang w:val="it-IT"/>
        </w:rPr>
        <w:t xml:space="preserve"> </w:t>
      </w:r>
      <w:r w:rsidR="00DE0D46" w:rsidRPr="00DE0D46">
        <w:rPr>
          <w:lang w:val="it-IT"/>
        </w:rPr>
        <w:lastRenderedPageBreak/>
        <w:t xml:space="preserve">L’adozione di una prospettiva comparativa consente </w:t>
      </w:r>
      <w:r w:rsidR="00E67229">
        <w:rPr>
          <w:lang w:val="it-IT"/>
        </w:rPr>
        <w:t>di</w:t>
      </w:r>
      <w:r w:rsidR="00DE0D46" w:rsidRPr="00DE0D46">
        <w:rPr>
          <w:lang w:val="it-IT"/>
        </w:rPr>
        <w:t xml:space="preserve"> ricostruire l’esperienza di Solidarność alla luce di molteplici punti di vista, </w:t>
      </w:r>
      <w:r w:rsidR="00E67229">
        <w:rPr>
          <w:lang w:val="it-IT"/>
        </w:rPr>
        <w:t>senza tralasciare gli importanti sviluppi nazionali.</w:t>
      </w:r>
    </w:p>
    <w:p w14:paraId="09269138" w14:textId="3FACCBFB" w:rsidR="00464B2F" w:rsidRPr="003627F2" w:rsidRDefault="003D13DE" w:rsidP="001A1A50">
      <w:pPr>
        <w:pStyle w:val="NormaleWeb"/>
        <w:spacing w:before="0" w:beforeAutospacing="0" w:after="0" w:afterAutospacing="0" w:line="360" w:lineRule="auto"/>
        <w:ind w:firstLine="720"/>
        <w:jc w:val="both"/>
        <w:rPr>
          <w:lang w:val="it-IT"/>
        </w:rPr>
      </w:pPr>
      <w:r w:rsidRPr="003D13DE">
        <w:rPr>
          <w:lang w:val="it-IT"/>
        </w:rPr>
        <w:t xml:space="preserve">Seguendo queste due correnti metodologiche, si è svolta un’analisi preliminare degli archivi e una valutazione comparativa delle fonti, per bilanciare le specificità dei produttori e restituire la complessità di Solidarność. </w:t>
      </w:r>
      <w:r w:rsidR="003627F2" w:rsidRPr="003627F2">
        <w:rPr>
          <w:lang w:val="it-IT"/>
        </w:rPr>
        <w:t>Centrale in questo processo è stata una riflessione critica sul rapporto tra archivi e potere, accompagnata da una considerazione specifica sulla natura fluida degli archivi legati ai movimenti sociali e sulle sfide dell’impiego di fonti archivistiche</w:t>
      </w:r>
      <w:r w:rsidR="003627F2">
        <w:rPr>
          <w:lang w:val="it-IT"/>
        </w:rPr>
        <w:t xml:space="preserve"> </w:t>
      </w:r>
      <w:r w:rsidR="003627F2" w:rsidRPr="003627F2">
        <w:rPr>
          <w:lang w:val="it-IT"/>
        </w:rPr>
        <w:t>nell’ambito della storia transnazionale</w:t>
      </w:r>
      <w:r w:rsidR="003627F2">
        <w:rPr>
          <w:lang w:val="it-IT"/>
        </w:rPr>
        <w:t xml:space="preserve"> dal momento che gli archivi restano </w:t>
      </w:r>
      <w:r w:rsidR="003627F2" w:rsidRPr="003D13DE">
        <w:rPr>
          <w:lang w:val="it-IT"/>
        </w:rPr>
        <w:t>vincolat</w:t>
      </w:r>
      <w:r w:rsidR="003627F2">
        <w:rPr>
          <w:lang w:val="it-IT"/>
        </w:rPr>
        <w:t>i</w:t>
      </w:r>
      <w:r w:rsidR="003627F2" w:rsidRPr="003D13DE">
        <w:rPr>
          <w:lang w:val="it-IT"/>
        </w:rPr>
        <w:t xml:space="preserve"> alle logiche conservative degli stati nazionali</w:t>
      </w:r>
      <w:r w:rsidR="003627F2">
        <w:rPr>
          <w:lang w:val="it-IT"/>
        </w:rPr>
        <w:t xml:space="preserve">. </w:t>
      </w:r>
      <w:r w:rsidR="00464B2F" w:rsidRPr="003627F2">
        <w:rPr>
          <w:lang w:val="it-IT"/>
        </w:rPr>
        <w:t>Al fine di ricostruire il complesso quadro di ricezion</w:t>
      </w:r>
      <w:r w:rsidR="00E066B1" w:rsidRPr="003627F2">
        <w:rPr>
          <w:lang w:val="it-IT"/>
        </w:rPr>
        <w:t>e</w:t>
      </w:r>
      <w:r w:rsidR="00464B2F" w:rsidRPr="003627F2">
        <w:rPr>
          <w:lang w:val="it-IT"/>
        </w:rPr>
        <w:t xml:space="preserve">/percezione/relazione fra </w:t>
      </w:r>
      <w:r w:rsidR="00972C34" w:rsidRPr="003627F2">
        <w:rPr>
          <w:lang w:val="it-IT"/>
        </w:rPr>
        <w:t>Solidarność</w:t>
      </w:r>
      <w:r w:rsidR="00E066B1" w:rsidRPr="003627F2">
        <w:rPr>
          <w:lang w:val="it-IT"/>
        </w:rPr>
        <w:t>,</w:t>
      </w:r>
      <w:r w:rsidR="00464B2F" w:rsidRPr="003627F2">
        <w:rPr>
          <w:lang w:val="it-IT"/>
        </w:rPr>
        <w:t xml:space="preserve"> gli stati</w:t>
      </w:r>
      <w:r w:rsidR="00E066B1" w:rsidRPr="003627F2">
        <w:rPr>
          <w:lang w:val="it-IT"/>
        </w:rPr>
        <w:t xml:space="preserve"> ed i</w:t>
      </w:r>
      <w:r w:rsidR="00464B2F" w:rsidRPr="003627F2">
        <w:rPr>
          <w:lang w:val="it-IT"/>
        </w:rPr>
        <w:t xml:space="preserve"> sindacati dell’Europa occidentale sono stati presi in considerazione i seguenti archivi:</w:t>
      </w:r>
    </w:p>
    <w:p w14:paraId="096BBCDA" w14:textId="77777777" w:rsidR="0072277F" w:rsidRDefault="0072277F" w:rsidP="001A1A50">
      <w:pPr>
        <w:pStyle w:val="Corpotesto"/>
        <w:spacing w:line="360" w:lineRule="auto"/>
        <w:jc w:val="both"/>
        <w:rPr>
          <w:sz w:val="24"/>
          <w:szCs w:val="24"/>
        </w:rPr>
      </w:pPr>
    </w:p>
    <w:p w14:paraId="46762BF6" w14:textId="77777777" w:rsidR="003627F2" w:rsidRDefault="00464B2F" w:rsidP="001A1A50">
      <w:pPr>
        <w:pStyle w:val="Corpotesto"/>
        <w:spacing w:line="360" w:lineRule="auto"/>
        <w:jc w:val="both"/>
        <w:rPr>
          <w:sz w:val="24"/>
          <w:szCs w:val="24"/>
        </w:rPr>
      </w:pPr>
      <w:r w:rsidRPr="00464B2F">
        <w:rPr>
          <w:sz w:val="24"/>
          <w:szCs w:val="24"/>
        </w:rPr>
        <w:t xml:space="preserve">- </w:t>
      </w:r>
      <w:r w:rsidR="005F1B54" w:rsidRPr="00E67229">
        <w:rPr>
          <w:i/>
          <w:iCs/>
          <w:sz w:val="24"/>
          <w:szCs w:val="24"/>
        </w:rPr>
        <w:t xml:space="preserve">Archiwum </w:t>
      </w:r>
      <w:proofErr w:type="spellStart"/>
      <w:r w:rsidR="005F1B54" w:rsidRPr="00E67229">
        <w:rPr>
          <w:i/>
          <w:iCs/>
          <w:sz w:val="24"/>
          <w:szCs w:val="24"/>
        </w:rPr>
        <w:t>Akt</w:t>
      </w:r>
      <w:proofErr w:type="spellEnd"/>
      <w:r w:rsidR="005F1B54" w:rsidRPr="00E67229">
        <w:rPr>
          <w:i/>
          <w:iCs/>
          <w:sz w:val="24"/>
          <w:szCs w:val="24"/>
        </w:rPr>
        <w:t xml:space="preserve"> Nowych</w:t>
      </w:r>
      <w:r w:rsidR="005F1B54" w:rsidRPr="00464B2F">
        <w:rPr>
          <w:sz w:val="24"/>
          <w:szCs w:val="24"/>
        </w:rPr>
        <w:t xml:space="preserve">, </w:t>
      </w:r>
      <w:r w:rsidR="005F1B54" w:rsidRPr="00E67229">
        <w:rPr>
          <w:i/>
          <w:iCs/>
          <w:sz w:val="24"/>
          <w:szCs w:val="24"/>
        </w:rPr>
        <w:t xml:space="preserve">Fundacja </w:t>
      </w:r>
      <w:proofErr w:type="spellStart"/>
      <w:r w:rsidR="005F1B54" w:rsidRPr="00E67229">
        <w:rPr>
          <w:i/>
          <w:iCs/>
          <w:sz w:val="24"/>
          <w:szCs w:val="24"/>
        </w:rPr>
        <w:t>Ośrodka</w:t>
      </w:r>
      <w:proofErr w:type="spellEnd"/>
      <w:r w:rsidR="005F1B54" w:rsidRPr="00E67229">
        <w:rPr>
          <w:i/>
          <w:iCs/>
          <w:sz w:val="24"/>
          <w:szCs w:val="24"/>
        </w:rPr>
        <w:t xml:space="preserve"> KARTA</w:t>
      </w:r>
      <w:r w:rsidR="005F1B54" w:rsidRPr="00464B2F">
        <w:rPr>
          <w:sz w:val="24"/>
          <w:szCs w:val="24"/>
        </w:rPr>
        <w:t xml:space="preserve"> e </w:t>
      </w:r>
      <w:r w:rsidR="005F1B54" w:rsidRPr="00E67229">
        <w:rPr>
          <w:i/>
          <w:iCs/>
          <w:sz w:val="24"/>
          <w:szCs w:val="24"/>
        </w:rPr>
        <w:t>Archiwum KK NSZZ Solidarność</w:t>
      </w:r>
      <w:r w:rsidR="005F1B54" w:rsidRPr="00464B2F">
        <w:rPr>
          <w:sz w:val="24"/>
          <w:szCs w:val="24"/>
        </w:rPr>
        <w:t xml:space="preserve"> </w:t>
      </w:r>
      <w:r w:rsidRPr="00464B2F">
        <w:rPr>
          <w:sz w:val="24"/>
          <w:szCs w:val="24"/>
        </w:rPr>
        <w:t xml:space="preserve">per le fonti polacche </w:t>
      </w:r>
      <w:r w:rsidR="003627F2">
        <w:rPr>
          <w:sz w:val="24"/>
          <w:szCs w:val="24"/>
        </w:rPr>
        <w:t>su</w:t>
      </w:r>
      <w:r w:rsidRPr="00464B2F">
        <w:rPr>
          <w:sz w:val="24"/>
          <w:szCs w:val="24"/>
        </w:rPr>
        <w:t xml:space="preserve"> </w:t>
      </w:r>
      <w:r w:rsidR="00972C34">
        <w:rPr>
          <w:sz w:val="24"/>
          <w:szCs w:val="24"/>
        </w:rPr>
        <w:t>Solidarność</w:t>
      </w:r>
      <w:r w:rsidR="003627F2">
        <w:rPr>
          <w:sz w:val="24"/>
          <w:szCs w:val="24"/>
        </w:rPr>
        <w:t>.</w:t>
      </w:r>
    </w:p>
    <w:p w14:paraId="49355DE8" w14:textId="11F21136" w:rsidR="0072277F" w:rsidRDefault="00464B2F" w:rsidP="001A1A50">
      <w:pPr>
        <w:pStyle w:val="Corpotesto"/>
        <w:spacing w:line="360" w:lineRule="auto"/>
        <w:jc w:val="both"/>
        <w:rPr>
          <w:sz w:val="24"/>
          <w:szCs w:val="24"/>
        </w:rPr>
      </w:pPr>
      <w:r>
        <w:rPr>
          <w:sz w:val="24"/>
          <w:szCs w:val="24"/>
        </w:rPr>
        <w:t>-</w:t>
      </w:r>
      <w:r w:rsidRPr="00464B2F">
        <w:rPr>
          <w:sz w:val="24"/>
          <w:szCs w:val="24"/>
        </w:rPr>
        <w:t xml:space="preserve">Fondazione Giulio Pastore e Archivio MAECI rispettivamente per </w:t>
      </w:r>
      <w:r>
        <w:rPr>
          <w:sz w:val="24"/>
          <w:szCs w:val="24"/>
        </w:rPr>
        <w:t xml:space="preserve">l’ambiente sindacale e governativo italiano. </w:t>
      </w:r>
      <w:r w:rsidR="0072277F" w:rsidRPr="0072277F">
        <w:rPr>
          <w:sz w:val="24"/>
          <w:szCs w:val="24"/>
        </w:rPr>
        <w:t xml:space="preserve">Va sottolineato che le fonti del MAECI, in quanto inedite, offrono un contributo significativo alla ricostruzione del dibattito politico europeo dell’epoca. In virtù </w:t>
      </w:r>
      <w:r w:rsidR="0072277F">
        <w:rPr>
          <w:sz w:val="24"/>
          <w:szCs w:val="24"/>
        </w:rPr>
        <w:t xml:space="preserve">poi </w:t>
      </w:r>
      <w:r w:rsidR="0072277F" w:rsidRPr="0072277F">
        <w:rPr>
          <w:sz w:val="24"/>
          <w:szCs w:val="24"/>
        </w:rPr>
        <w:t>della condivisione di intenti all’interno della Comunità Europea, esse consentono di andare oltre le dichiarazioni pubbliche, restituendo una visione più approfondita delle dinamiche interne.</w:t>
      </w:r>
    </w:p>
    <w:p w14:paraId="3864D0C1" w14:textId="367357A2" w:rsidR="0072277F" w:rsidRPr="00C22A33" w:rsidRDefault="00C22A33" w:rsidP="001A1A50">
      <w:pPr>
        <w:pStyle w:val="Corpotesto"/>
        <w:spacing w:line="360" w:lineRule="auto"/>
        <w:jc w:val="both"/>
        <w:rPr>
          <w:sz w:val="24"/>
          <w:szCs w:val="24"/>
        </w:rPr>
      </w:pPr>
      <w:r w:rsidRPr="00C22A33">
        <w:rPr>
          <w:sz w:val="24"/>
          <w:szCs w:val="24"/>
        </w:rPr>
        <w:t>-</w:t>
      </w:r>
      <w:r w:rsidRPr="00E67229">
        <w:rPr>
          <w:i/>
          <w:iCs/>
          <w:sz w:val="24"/>
          <w:szCs w:val="24"/>
        </w:rPr>
        <w:t xml:space="preserve">The </w:t>
      </w:r>
      <w:proofErr w:type="spellStart"/>
      <w:r w:rsidRPr="00E67229">
        <w:rPr>
          <w:i/>
          <w:iCs/>
          <w:sz w:val="24"/>
          <w:szCs w:val="24"/>
        </w:rPr>
        <w:t>Historical</w:t>
      </w:r>
      <w:proofErr w:type="spellEnd"/>
      <w:r w:rsidRPr="00E67229">
        <w:rPr>
          <w:i/>
          <w:iCs/>
          <w:sz w:val="24"/>
          <w:szCs w:val="24"/>
        </w:rPr>
        <w:t xml:space="preserve"> Archive of the EU</w:t>
      </w:r>
      <w:r w:rsidRPr="00C22A33">
        <w:rPr>
          <w:sz w:val="24"/>
          <w:szCs w:val="24"/>
        </w:rPr>
        <w:t xml:space="preserve"> e </w:t>
      </w:r>
      <w:r w:rsidRPr="00E67229">
        <w:rPr>
          <w:i/>
          <w:iCs/>
          <w:sz w:val="24"/>
          <w:szCs w:val="24"/>
        </w:rPr>
        <w:t>NATO Archives</w:t>
      </w:r>
      <w:r w:rsidRPr="00C22A33">
        <w:rPr>
          <w:sz w:val="24"/>
          <w:szCs w:val="24"/>
        </w:rPr>
        <w:t xml:space="preserve">, </w:t>
      </w:r>
      <w:r>
        <w:rPr>
          <w:sz w:val="24"/>
          <w:szCs w:val="24"/>
        </w:rPr>
        <w:t>per approfondire, contestualizzare</w:t>
      </w:r>
      <w:r w:rsidRPr="00C22A33">
        <w:rPr>
          <w:sz w:val="24"/>
          <w:szCs w:val="24"/>
        </w:rPr>
        <w:t xml:space="preserve"> </w:t>
      </w:r>
      <w:r>
        <w:rPr>
          <w:sz w:val="24"/>
          <w:szCs w:val="24"/>
        </w:rPr>
        <w:t>e confrontare i temi emersi dalle fonti MAECI rispettivamente per la posizione europea e transatlantica.</w:t>
      </w:r>
    </w:p>
    <w:p w14:paraId="03709E73" w14:textId="0387CBF7" w:rsidR="00ED1043" w:rsidRDefault="00C22A33" w:rsidP="001A1A50">
      <w:pPr>
        <w:pStyle w:val="Corpotesto"/>
        <w:spacing w:line="360" w:lineRule="auto"/>
        <w:jc w:val="both"/>
        <w:rPr>
          <w:sz w:val="24"/>
          <w:szCs w:val="24"/>
        </w:rPr>
      </w:pPr>
      <w:r w:rsidRPr="00C22A33">
        <w:rPr>
          <w:sz w:val="24"/>
          <w:szCs w:val="24"/>
        </w:rPr>
        <w:t>-</w:t>
      </w:r>
      <w:r w:rsidR="005F1B54" w:rsidRPr="00E67229">
        <w:rPr>
          <w:i/>
          <w:iCs/>
          <w:sz w:val="24"/>
          <w:szCs w:val="24"/>
        </w:rPr>
        <w:t>The Jimmy Carter</w:t>
      </w:r>
      <w:r w:rsidR="005F1B54" w:rsidRPr="00C22A33">
        <w:rPr>
          <w:sz w:val="24"/>
          <w:szCs w:val="24"/>
        </w:rPr>
        <w:t xml:space="preserve"> </w:t>
      </w:r>
      <w:r w:rsidR="00E67229">
        <w:rPr>
          <w:sz w:val="24"/>
          <w:szCs w:val="24"/>
        </w:rPr>
        <w:t>e</w:t>
      </w:r>
      <w:r w:rsidR="005F1B54" w:rsidRPr="00C22A33">
        <w:rPr>
          <w:sz w:val="24"/>
          <w:szCs w:val="24"/>
        </w:rPr>
        <w:t xml:space="preserve"> </w:t>
      </w:r>
      <w:r w:rsidR="005F1B54" w:rsidRPr="00E67229">
        <w:rPr>
          <w:i/>
          <w:iCs/>
          <w:sz w:val="24"/>
          <w:szCs w:val="24"/>
        </w:rPr>
        <w:t xml:space="preserve">Ronald Reagan </w:t>
      </w:r>
      <w:proofErr w:type="spellStart"/>
      <w:r w:rsidR="005F1B54" w:rsidRPr="00E67229">
        <w:rPr>
          <w:i/>
          <w:iCs/>
          <w:sz w:val="24"/>
          <w:szCs w:val="24"/>
        </w:rPr>
        <w:t>Presidential</w:t>
      </w:r>
      <w:proofErr w:type="spellEnd"/>
      <w:r w:rsidR="005F1B54" w:rsidRPr="00E67229">
        <w:rPr>
          <w:i/>
          <w:iCs/>
          <w:sz w:val="24"/>
          <w:szCs w:val="24"/>
        </w:rPr>
        <w:t xml:space="preserve"> Library</w:t>
      </w:r>
      <w:r w:rsidR="005F1B54" w:rsidRPr="00C22A33">
        <w:rPr>
          <w:sz w:val="24"/>
          <w:szCs w:val="24"/>
        </w:rPr>
        <w:t xml:space="preserve">, </w:t>
      </w:r>
      <w:r w:rsidR="005F1B54" w:rsidRPr="00E67229">
        <w:rPr>
          <w:i/>
          <w:iCs/>
          <w:sz w:val="24"/>
          <w:szCs w:val="24"/>
        </w:rPr>
        <w:t>The Foreign Relations of the United States</w:t>
      </w:r>
      <w:r w:rsidR="005F1B54" w:rsidRPr="00C22A33">
        <w:rPr>
          <w:sz w:val="24"/>
          <w:szCs w:val="24"/>
        </w:rPr>
        <w:t xml:space="preserve">, (Stati Uniti); </w:t>
      </w:r>
      <w:r w:rsidR="005F1B54" w:rsidRPr="00E67229">
        <w:rPr>
          <w:i/>
          <w:iCs/>
          <w:sz w:val="24"/>
          <w:szCs w:val="24"/>
        </w:rPr>
        <w:t>National Archives</w:t>
      </w:r>
      <w:r w:rsidR="00F660C4">
        <w:rPr>
          <w:sz w:val="24"/>
          <w:szCs w:val="24"/>
        </w:rPr>
        <w:t xml:space="preserve">; </w:t>
      </w:r>
      <w:r w:rsidR="0072277F" w:rsidRPr="00E67229">
        <w:rPr>
          <w:i/>
          <w:iCs/>
          <w:sz w:val="24"/>
          <w:szCs w:val="24"/>
        </w:rPr>
        <w:t xml:space="preserve">Margaret </w:t>
      </w:r>
      <w:proofErr w:type="spellStart"/>
      <w:r w:rsidR="0072277F" w:rsidRPr="00E67229">
        <w:rPr>
          <w:i/>
          <w:iCs/>
          <w:sz w:val="24"/>
          <w:szCs w:val="24"/>
        </w:rPr>
        <w:t>Tatcher</w:t>
      </w:r>
      <w:proofErr w:type="spellEnd"/>
      <w:r w:rsidR="0072277F" w:rsidRPr="00E67229">
        <w:rPr>
          <w:i/>
          <w:iCs/>
          <w:sz w:val="24"/>
          <w:szCs w:val="24"/>
        </w:rPr>
        <w:t xml:space="preserve"> Archive</w:t>
      </w:r>
      <w:r w:rsidR="0072277F">
        <w:rPr>
          <w:sz w:val="24"/>
          <w:szCs w:val="24"/>
        </w:rPr>
        <w:t xml:space="preserve"> (Gran Bretagna)</w:t>
      </w:r>
      <w:r w:rsidRPr="00C22A33">
        <w:rPr>
          <w:sz w:val="24"/>
          <w:szCs w:val="24"/>
        </w:rPr>
        <w:t xml:space="preserve"> </w:t>
      </w:r>
      <w:r w:rsidR="0072277F">
        <w:rPr>
          <w:sz w:val="24"/>
          <w:szCs w:val="24"/>
        </w:rPr>
        <w:t>c</w:t>
      </w:r>
      <w:r w:rsidR="0072277F" w:rsidRPr="0072277F">
        <w:rPr>
          <w:sz w:val="24"/>
          <w:szCs w:val="24"/>
        </w:rPr>
        <w:t>he, grazie alla loro ampia accessibilità online, hanno contribuito a contestualizzare e ad approfondire l’analisi di fonti provenienti da altri contesti</w:t>
      </w:r>
      <w:r w:rsidR="00F660C4">
        <w:rPr>
          <w:sz w:val="24"/>
          <w:szCs w:val="24"/>
        </w:rPr>
        <w:t>.</w:t>
      </w:r>
    </w:p>
    <w:p w14:paraId="77862E21" w14:textId="77777777" w:rsidR="00EE02DF" w:rsidRDefault="00EE02DF" w:rsidP="001A1A50">
      <w:pPr>
        <w:pStyle w:val="Corpotesto"/>
        <w:spacing w:line="360" w:lineRule="auto"/>
        <w:jc w:val="both"/>
        <w:rPr>
          <w:sz w:val="24"/>
          <w:szCs w:val="24"/>
        </w:rPr>
      </w:pPr>
    </w:p>
    <w:p w14:paraId="0F8FA256" w14:textId="4D211804" w:rsidR="00DE1F36" w:rsidRPr="00802025" w:rsidRDefault="00A1762E" w:rsidP="001A1A50">
      <w:pPr>
        <w:pStyle w:val="Corpotesto"/>
        <w:numPr>
          <w:ilvl w:val="0"/>
          <w:numId w:val="18"/>
        </w:numPr>
        <w:spacing w:line="360" w:lineRule="auto"/>
        <w:jc w:val="both"/>
        <w:rPr>
          <w:b/>
          <w:bCs/>
          <w:sz w:val="24"/>
          <w:szCs w:val="24"/>
        </w:rPr>
      </w:pPr>
      <w:r w:rsidRPr="00A1762E">
        <w:rPr>
          <w:b/>
          <w:bCs/>
          <w:sz w:val="24"/>
          <w:szCs w:val="24"/>
        </w:rPr>
        <w:t>Conclusioni</w:t>
      </w:r>
    </w:p>
    <w:p w14:paraId="1668C263" w14:textId="5295740E" w:rsidR="000E7E31" w:rsidRDefault="000E7E31" w:rsidP="001A1A50">
      <w:pPr>
        <w:widowControl/>
        <w:autoSpaceDE/>
        <w:autoSpaceDN/>
        <w:spacing w:line="360" w:lineRule="auto"/>
        <w:ind w:firstLine="720"/>
        <w:jc w:val="both"/>
        <w:rPr>
          <w:sz w:val="24"/>
          <w:szCs w:val="24"/>
          <w:lang w:eastAsia="en-GB"/>
        </w:rPr>
      </w:pPr>
      <w:r w:rsidRPr="000E7E31">
        <w:rPr>
          <w:sz w:val="24"/>
          <w:szCs w:val="24"/>
          <w:lang w:eastAsia="en-GB"/>
        </w:rPr>
        <w:t xml:space="preserve">Sulla base delle riflessioni finora sviluppate, si crede che l’originalità di questo contributo risieda nell’impiego di fonti inedite del Ministero degli Affari Esteri italiano, nella metodologia adottata e nella specificità dei temi affrontati. La tesi si concentra innanzitutto sull’evoluzione di Solidarność, delineando per ciascuna fase del movimento caratteristiche, obiettivi e struttura organizzativa, al fine di evitare una riflessione generalista, agiografica o influenzata eccessivamente dalle dinamiche della guerra fredda.  In dieci anni, il movimento ha adattato il proprio ruolo al mutare del contesto nazionale e internazionale, articolandosi in tre fasi: (i) 1980–1982: Solidarność come sindacato – inizialmente interno al regime, con un approccio riformista, sviluppò dal 1981 una rete </w:t>
      </w:r>
      <w:r w:rsidRPr="000E7E31">
        <w:rPr>
          <w:sz w:val="24"/>
          <w:szCs w:val="24"/>
          <w:lang w:eastAsia="en-GB"/>
        </w:rPr>
        <w:lastRenderedPageBreak/>
        <w:t>internazionale, principalmente sindacale e solo in parte diplomatica</w:t>
      </w:r>
      <w:bookmarkStart w:id="0" w:name="m_-9135555955480523988_m_-40468104635756"/>
      <w:bookmarkEnd w:id="0"/>
      <w:r>
        <w:rPr>
          <w:rStyle w:val="Rimandonotaapidipagina"/>
          <w:sz w:val="24"/>
          <w:szCs w:val="24"/>
        </w:rPr>
        <w:footnoteReference w:id="22"/>
      </w:r>
      <w:r w:rsidRPr="000E7E31">
        <w:rPr>
          <w:sz w:val="24"/>
          <w:szCs w:val="24"/>
          <w:lang w:eastAsia="en-GB"/>
        </w:rPr>
        <w:t>; (ii) 1982–1988: Solidarność in clandestinità –  </w:t>
      </w:r>
      <w:r>
        <w:rPr>
          <w:sz w:val="24"/>
          <w:szCs w:val="24"/>
          <w:lang w:eastAsia="en-GB"/>
        </w:rPr>
        <w:t>capace di sopravvivere</w:t>
      </w:r>
      <w:r w:rsidRPr="000E7E31">
        <w:rPr>
          <w:sz w:val="24"/>
          <w:szCs w:val="24"/>
          <w:lang w:eastAsia="en-GB"/>
        </w:rPr>
        <w:t xml:space="preserve"> alla legge marziale grazie alla struttura sotterranea e ai legami esterni, divenne un polo d’opposizione, adottando il linguaggio dei diritti umani per attirare l’attenzione internazionale; (iii) 1988–1989</w:t>
      </w:r>
      <w:r>
        <w:rPr>
          <w:sz w:val="24"/>
          <w:szCs w:val="24"/>
          <w:lang w:eastAsia="en-GB"/>
        </w:rPr>
        <w:t xml:space="preserve"> </w:t>
      </w:r>
      <w:r w:rsidRPr="000E7E31">
        <w:rPr>
          <w:sz w:val="24"/>
          <w:szCs w:val="24"/>
          <w:lang w:eastAsia="en-GB"/>
        </w:rPr>
        <w:t>Solidarność</w:t>
      </w:r>
      <w:r>
        <w:rPr>
          <w:sz w:val="24"/>
          <w:szCs w:val="24"/>
          <w:lang w:eastAsia="en-GB"/>
        </w:rPr>
        <w:t xml:space="preserve"> e il compromesso </w:t>
      </w:r>
      <w:r w:rsidRPr="000E7E31">
        <w:rPr>
          <w:sz w:val="24"/>
          <w:szCs w:val="24"/>
          <w:lang w:eastAsia="en-GB"/>
        </w:rPr>
        <w:t>–  la fase conclusiva portò al compromesso con il regime comunista e alle elezioni parzialmente libere del 4 giugno 1989. Sul piano internazionale, l’originalità del lavoro emerge dalla doppia comparazione proposta: da un lato, tra le diverse recezioni del movimento da parte di sindacati, opinione pubblica e governi; dall’altro, tra la percezione occidentale di Solidarność e la sua natura profonda.</w:t>
      </w:r>
    </w:p>
    <w:p w14:paraId="37C56048" w14:textId="77777777" w:rsidR="00972C34" w:rsidRDefault="00972C34" w:rsidP="001A1A50">
      <w:pPr>
        <w:pStyle w:val="Corpotesto"/>
        <w:spacing w:line="360" w:lineRule="auto"/>
        <w:ind w:left="720"/>
        <w:jc w:val="both"/>
        <w:rPr>
          <w:b/>
          <w:bCs/>
          <w:sz w:val="24"/>
          <w:szCs w:val="24"/>
        </w:rPr>
      </w:pPr>
    </w:p>
    <w:p w14:paraId="7D5BCC76" w14:textId="03D8E3CA" w:rsidR="00D02B71" w:rsidRPr="00A1762E" w:rsidRDefault="00ED1043" w:rsidP="001A1A50">
      <w:pPr>
        <w:pStyle w:val="Corpotesto"/>
        <w:numPr>
          <w:ilvl w:val="0"/>
          <w:numId w:val="18"/>
        </w:numPr>
        <w:spacing w:line="360" w:lineRule="auto"/>
        <w:jc w:val="both"/>
        <w:rPr>
          <w:b/>
          <w:bCs/>
          <w:sz w:val="24"/>
          <w:szCs w:val="24"/>
        </w:rPr>
      </w:pPr>
      <w:r w:rsidRPr="00A1762E">
        <w:rPr>
          <w:b/>
          <w:bCs/>
          <w:sz w:val="24"/>
          <w:szCs w:val="24"/>
        </w:rPr>
        <w:t>Struttura</w:t>
      </w:r>
    </w:p>
    <w:p w14:paraId="0354D33A" w14:textId="05B18A34" w:rsidR="00C11C44" w:rsidRDefault="00D02B71" w:rsidP="001A1A50">
      <w:pPr>
        <w:pStyle w:val="Corpotesto"/>
        <w:spacing w:line="360" w:lineRule="auto"/>
        <w:ind w:firstLine="720"/>
        <w:jc w:val="both"/>
        <w:rPr>
          <w:sz w:val="24"/>
          <w:szCs w:val="24"/>
        </w:rPr>
      </w:pPr>
      <w:r w:rsidRPr="00D02B71">
        <w:rPr>
          <w:sz w:val="24"/>
          <w:szCs w:val="24"/>
        </w:rPr>
        <w:t xml:space="preserve">La tesi si compone di cinque capitoli. Il primo e l’ultimo sono intesi come prologo ed epilogo mentre i tre centrali seguono un ordine cronologico ma sono organizzati tematicamente. </w:t>
      </w:r>
      <w:r w:rsidR="009809AA">
        <w:rPr>
          <w:sz w:val="24"/>
          <w:szCs w:val="24"/>
        </w:rPr>
        <w:t>I</w:t>
      </w:r>
      <w:r w:rsidR="00201490" w:rsidRPr="00201490">
        <w:rPr>
          <w:sz w:val="24"/>
          <w:szCs w:val="24"/>
        </w:rPr>
        <w:t>l secondo capitolo</w:t>
      </w:r>
      <w:r w:rsidR="00723DF0">
        <w:rPr>
          <w:sz w:val="24"/>
          <w:szCs w:val="24"/>
        </w:rPr>
        <w:t>,</w:t>
      </w:r>
      <w:r w:rsidR="009809AA">
        <w:rPr>
          <w:sz w:val="24"/>
          <w:szCs w:val="24"/>
        </w:rPr>
        <w:t xml:space="preserve"> dedicato all’agosto 1980</w:t>
      </w:r>
      <w:r w:rsidR="00723DF0">
        <w:rPr>
          <w:sz w:val="24"/>
          <w:szCs w:val="24"/>
        </w:rPr>
        <w:t>,</w:t>
      </w:r>
      <w:r w:rsidR="00201490" w:rsidRPr="00201490">
        <w:rPr>
          <w:sz w:val="24"/>
          <w:szCs w:val="24"/>
        </w:rPr>
        <w:t xml:space="preserve"> è strutturato in due sezioni: la prima esamina l’evoluzione del contesto polacco</w:t>
      </w:r>
      <w:r w:rsidR="000E7E31">
        <w:rPr>
          <w:sz w:val="24"/>
          <w:szCs w:val="24"/>
        </w:rPr>
        <w:t xml:space="preserve"> mentre</w:t>
      </w:r>
      <w:r w:rsidR="00201490" w:rsidRPr="00201490">
        <w:rPr>
          <w:sz w:val="24"/>
          <w:szCs w:val="24"/>
        </w:rPr>
        <w:t xml:space="preserve"> la seconda </w:t>
      </w:r>
      <w:r w:rsidR="00723DF0">
        <w:rPr>
          <w:sz w:val="24"/>
          <w:szCs w:val="24"/>
        </w:rPr>
        <w:t>le dinamiche</w:t>
      </w:r>
      <w:r w:rsidR="00201490" w:rsidRPr="00201490">
        <w:rPr>
          <w:sz w:val="24"/>
          <w:szCs w:val="24"/>
        </w:rPr>
        <w:t xml:space="preserve"> internazional</w:t>
      </w:r>
      <w:r w:rsidR="00723DF0">
        <w:rPr>
          <w:sz w:val="24"/>
          <w:szCs w:val="24"/>
        </w:rPr>
        <w:t>i</w:t>
      </w:r>
      <w:r w:rsidR="00201490" w:rsidRPr="00201490">
        <w:rPr>
          <w:sz w:val="24"/>
          <w:szCs w:val="24"/>
        </w:rPr>
        <w:t>. Tale suddivisione riflette il ruolo passivo dell’</w:t>
      </w:r>
      <w:r w:rsidR="00190A10">
        <w:rPr>
          <w:sz w:val="24"/>
          <w:szCs w:val="24"/>
        </w:rPr>
        <w:t>o</w:t>
      </w:r>
      <w:r w:rsidR="00201490" w:rsidRPr="00201490">
        <w:rPr>
          <w:sz w:val="24"/>
          <w:szCs w:val="24"/>
        </w:rPr>
        <w:t>ccidente in questa fase iniziale, limitato all’osservazione e all’interpretazione degli eventi che si svolgevano nei cantieri navali di Danzica.</w:t>
      </w:r>
      <w:r w:rsidR="00190A10">
        <w:rPr>
          <w:sz w:val="24"/>
          <w:szCs w:val="24"/>
        </w:rPr>
        <w:t xml:space="preserve"> </w:t>
      </w:r>
      <w:r w:rsidR="00C11C44" w:rsidRPr="00C11C44">
        <w:rPr>
          <w:sz w:val="24"/>
          <w:szCs w:val="24"/>
        </w:rPr>
        <w:t>Il terzo capitolo</w:t>
      </w:r>
      <w:r w:rsidR="009809AA">
        <w:rPr>
          <w:sz w:val="24"/>
          <w:szCs w:val="24"/>
        </w:rPr>
        <w:t xml:space="preserve"> ripercorre il periodo legale di </w:t>
      </w:r>
      <w:r w:rsidR="00972C34">
        <w:rPr>
          <w:sz w:val="24"/>
          <w:szCs w:val="24"/>
        </w:rPr>
        <w:t xml:space="preserve">Solidarność </w:t>
      </w:r>
      <w:r w:rsidR="009809AA">
        <w:rPr>
          <w:sz w:val="24"/>
          <w:szCs w:val="24"/>
        </w:rPr>
        <w:t>dopo gli accordi di agosto e</w:t>
      </w:r>
      <w:r w:rsidR="00C11C44" w:rsidRPr="00C11C44">
        <w:rPr>
          <w:sz w:val="24"/>
          <w:szCs w:val="24"/>
        </w:rPr>
        <w:t xml:space="preserve"> introduce un ulteriore livello di analisi, oltre a quello nazionale e internazionale: l’attività di Solidarność al di fuori dei confini polacchi. In questa fase, infatti, il movimento perseguì obiettivi distinti a livello interno rispetto al </w:t>
      </w:r>
      <w:r w:rsidR="000E7E31">
        <w:rPr>
          <w:sz w:val="24"/>
          <w:szCs w:val="24"/>
        </w:rPr>
        <w:t>quello</w:t>
      </w:r>
      <w:r w:rsidR="00C11C44" w:rsidRPr="00C11C44">
        <w:rPr>
          <w:sz w:val="24"/>
          <w:szCs w:val="24"/>
        </w:rPr>
        <w:t xml:space="preserve"> internazionale</w:t>
      </w:r>
      <w:r w:rsidR="000E7E31">
        <w:rPr>
          <w:sz w:val="24"/>
          <w:szCs w:val="24"/>
        </w:rPr>
        <w:t xml:space="preserve"> </w:t>
      </w:r>
      <w:r w:rsidR="00C11C44" w:rsidRPr="00C11C44">
        <w:rPr>
          <w:sz w:val="24"/>
          <w:szCs w:val="24"/>
        </w:rPr>
        <w:t>dove avviò contatti diretti con i sindacati occidentali. I governi</w:t>
      </w:r>
      <w:r w:rsidR="00972C34">
        <w:rPr>
          <w:sz w:val="24"/>
          <w:szCs w:val="24"/>
        </w:rPr>
        <w:t xml:space="preserve"> occidentali</w:t>
      </w:r>
      <w:r w:rsidR="00C11C44" w:rsidRPr="00F660C4">
        <w:rPr>
          <w:sz w:val="24"/>
          <w:szCs w:val="24"/>
        </w:rPr>
        <w:t xml:space="preserve">, pur riconoscendone l’importanza, continuarono fino alla fine del 1981 a considerarlo </w:t>
      </w:r>
      <w:r w:rsidR="00723DF0" w:rsidRPr="00F660C4">
        <w:rPr>
          <w:sz w:val="24"/>
          <w:szCs w:val="24"/>
        </w:rPr>
        <w:t xml:space="preserve">solo uno degli elementi </w:t>
      </w:r>
      <w:r w:rsidR="00C11C44" w:rsidRPr="00F660C4">
        <w:rPr>
          <w:sz w:val="24"/>
          <w:szCs w:val="24"/>
        </w:rPr>
        <w:t>della politica internazionale, senza attribuirgli lo status di interlocutore diretto</w:t>
      </w:r>
      <w:r w:rsidR="009809AA" w:rsidRPr="00F660C4">
        <w:rPr>
          <w:sz w:val="24"/>
          <w:szCs w:val="24"/>
        </w:rPr>
        <w:t>. Si è scelto di analizzare</w:t>
      </w:r>
      <w:r w:rsidR="009809AA" w:rsidRPr="00201490">
        <w:rPr>
          <w:sz w:val="24"/>
          <w:szCs w:val="24"/>
        </w:rPr>
        <w:t xml:space="preserve"> separatamente l’agosto 1980 dal periodo successivo (settembre 1980 - dicembre 1981) in quanto, nel primo caso, il movimento era ancora un’ipotesi in fase di definizione, mentre nel secondo era ormai una realtà consolidata. </w:t>
      </w:r>
      <w:r w:rsidR="00C11C44" w:rsidRPr="00C11C44">
        <w:rPr>
          <w:sz w:val="24"/>
          <w:szCs w:val="24"/>
        </w:rPr>
        <w:t>Nel quarto capitolo la distinzione tra dimensione nazionale e internazionale si dissolve, poiché il Solidarność clandestino si espanse oltre i confini polacchi, assumendo, soprattutto tra il 1987 e il 1988, un ruolo attivo nel dialogo con i governi occidentali. Per questo motivo, la struttura del capitolo segue un’impostazione tematica differente rispetto ai precedenti.</w:t>
      </w:r>
    </w:p>
    <w:p w14:paraId="419B4ED5" w14:textId="77777777" w:rsidR="00B10E3F" w:rsidRDefault="00B10E3F" w:rsidP="001A1A50">
      <w:pPr>
        <w:pStyle w:val="Corpotesto"/>
        <w:spacing w:line="360" w:lineRule="auto"/>
        <w:ind w:firstLine="720"/>
        <w:jc w:val="both"/>
        <w:rPr>
          <w:sz w:val="24"/>
          <w:szCs w:val="24"/>
        </w:rPr>
      </w:pPr>
    </w:p>
    <w:p w14:paraId="34A24E4E" w14:textId="78391BE8" w:rsidR="00D2555F" w:rsidRPr="007E695D" w:rsidRDefault="007E695D" w:rsidP="001A1A50">
      <w:pPr>
        <w:pStyle w:val="Corpotesto"/>
        <w:numPr>
          <w:ilvl w:val="0"/>
          <w:numId w:val="18"/>
        </w:numPr>
        <w:spacing w:line="360" w:lineRule="auto"/>
        <w:jc w:val="both"/>
        <w:rPr>
          <w:b/>
          <w:bCs/>
          <w:sz w:val="24"/>
          <w:szCs w:val="24"/>
        </w:rPr>
      </w:pPr>
      <w:r w:rsidRPr="007E695D">
        <w:rPr>
          <w:b/>
          <w:bCs/>
          <w:sz w:val="24"/>
          <w:szCs w:val="24"/>
        </w:rPr>
        <w:t>Indice provvisorio</w:t>
      </w:r>
    </w:p>
    <w:p w14:paraId="5691249B" w14:textId="6510127E" w:rsidR="00E35C30" w:rsidRPr="00D2555F" w:rsidRDefault="00E35C30" w:rsidP="001A1A50">
      <w:pPr>
        <w:pStyle w:val="TITOLO0"/>
        <w:jc w:val="both"/>
        <w:rPr>
          <w:rStyle w:val="Titolo2Carattere"/>
          <w:rFonts w:cs="Times New Roman"/>
          <w:b/>
          <w:bCs/>
          <w:i w:val="0"/>
          <w:szCs w:val="24"/>
          <w:lang w:val="en-US"/>
        </w:rPr>
      </w:pPr>
      <w:r w:rsidRPr="00D2555F">
        <w:rPr>
          <w:rFonts w:cs="Times New Roman"/>
          <w:bCs/>
          <w:sz w:val="24"/>
          <w:szCs w:val="24"/>
        </w:rPr>
        <w:t>Chapter I. Setting the Stage: The Polish 70s and the Emergence of Solidarity</w:t>
      </w:r>
    </w:p>
    <w:p w14:paraId="19362514" w14:textId="77777777" w:rsidR="00E35C30" w:rsidRPr="009119FA" w:rsidRDefault="00E35C30" w:rsidP="001A1A50">
      <w:pPr>
        <w:pStyle w:val="TITOLO0"/>
        <w:jc w:val="both"/>
        <w:rPr>
          <w:rFonts w:cs="Times New Roman"/>
          <w:b w:val="0"/>
          <w:bCs/>
          <w:sz w:val="24"/>
          <w:szCs w:val="24"/>
        </w:rPr>
      </w:pPr>
      <w:r w:rsidRPr="009119FA">
        <w:rPr>
          <w:rStyle w:val="Titolo2Carattere"/>
          <w:rFonts w:cs="Times New Roman"/>
          <w:bCs/>
          <w:i w:val="0"/>
          <w:szCs w:val="24"/>
          <w:lang w:val="en-GB"/>
        </w:rPr>
        <w:t>1.1 Deténte</w:t>
      </w:r>
      <w:r w:rsidRPr="009119FA">
        <w:rPr>
          <w:rStyle w:val="Titolo2Carattere"/>
          <w:rFonts w:cs="Times New Roman"/>
          <w:i w:val="0"/>
          <w:szCs w:val="24"/>
          <w:lang w:val="en-GB"/>
        </w:rPr>
        <w:t>, Transatlantic Struggles,</w:t>
      </w:r>
      <w:r w:rsidRPr="009119FA">
        <w:rPr>
          <w:rFonts w:cs="Times New Roman"/>
          <w:sz w:val="24"/>
          <w:szCs w:val="24"/>
        </w:rPr>
        <w:t xml:space="preserve"> </w:t>
      </w:r>
      <w:r w:rsidRPr="009119FA">
        <w:rPr>
          <w:rFonts w:cs="Times New Roman"/>
          <w:b w:val="0"/>
          <w:bCs/>
          <w:sz w:val="24"/>
          <w:szCs w:val="24"/>
        </w:rPr>
        <w:t>and Poland’s Opening to the World</w:t>
      </w:r>
    </w:p>
    <w:p w14:paraId="516E512B" w14:textId="77777777" w:rsidR="00E35C30" w:rsidRPr="009119FA" w:rsidRDefault="00E35C30" w:rsidP="001A1A50">
      <w:pPr>
        <w:spacing w:line="360" w:lineRule="auto"/>
        <w:jc w:val="both"/>
        <w:rPr>
          <w:sz w:val="24"/>
          <w:szCs w:val="24"/>
          <w:lang w:val="en-GB"/>
        </w:rPr>
      </w:pPr>
      <w:r w:rsidRPr="009119FA">
        <w:rPr>
          <w:sz w:val="24"/>
          <w:szCs w:val="24"/>
          <w:lang w:val="en-GB"/>
        </w:rPr>
        <w:t>1.2 Human Rights and Public Dissent: Bridging East and West</w:t>
      </w:r>
    </w:p>
    <w:p w14:paraId="40966E7A" w14:textId="77777777" w:rsidR="00E35C30" w:rsidRDefault="00E35C30" w:rsidP="001A1A50">
      <w:pPr>
        <w:spacing w:line="360" w:lineRule="auto"/>
        <w:jc w:val="both"/>
        <w:rPr>
          <w:bCs/>
          <w:sz w:val="24"/>
          <w:szCs w:val="24"/>
          <w:lang w:val="en-US"/>
        </w:rPr>
      </w:pPr>
      <w:r w:rsidRPr="009119FA">
        <w:rPr>
          <w:bCs/>
          <w:sz w:val="24"/>
          <w:szCs w:val="24"/>
          <w:lang w:val="en-US"/>
        </w:rPr>
        <w:t>Conclusion</w:t>
      </w:r>
    </w:p>
    <w:p w14:paraId="7E1AA139" w14:textId="77777777" w:rsidR="000E7E31" w:rsidRPr="009119FA" w:rsidRDefault="000E7E31" w:rsidP="001A1A50">
      <w:pPr>
        <w:spacing w:line="360" w:lineRule="auto"/>
        <w:jc w:val="both"/>
        <w:rPr>
          <w:bCs/>
          <w:sz w:val="24"/>
          <w:szCs w:val="24"/>
          <w:lang w:val="en-US"/>
        </w:rPr>
      </w:pPr>
    </w:p>
    <w:p w14:paraId="16FC56DE" w14:textId="79CF7E18" w:rsidR="00E35C30" w:rsidRPr="009119FA" w:rsidRDefault="00E35C30" w:rsidP="001A1A50">
      <w:pPr>
        <w:pStyle w:val="TITOLO0"/>
        <w:jc w:val="both"/>
        <w:rPr>
          <w:rFonts w:cs="Times New Roman"/>
          <w:sz w:val="24"/>
          <w:szCs w:val="24"/>
          <w:lang w:val="en-GB"/>
        </w:rPr>
      </w:pPr>
      <w:r w:rsidRPr="009119FA">
        <w:rPr>
          <w:rFonts w:cs="Times New Roman"/>
          <w:sz w:val="24"/>
          <w:szCs w:val="24"/>
          <w:lang w:val="en-GB"/>
        </w:rPr>
        <w:t xml:space="preserve">Chapter II. </w:t>
      </w:r>
      <w:r w:rsidR="00D9331F" w:rsidRPr="009119FA">
        <w:rPr>
          <w:rFonts w:cs="Times New Roman"/>
          <w:sz w:val="24"/>
          <w:szCs w:val="24"/>
          <w:lang w:val="en-GB"/>
        </w:rPr>
        <w:t xml:space="preserve">Strikes: </w:t>
      </w:r>
      <w:r w:rsidR="00DB5FE3" w:rsidRPr="009119FA">
        <w:rPr>
          <w:rFonts w:cs="Times New Roman"/>
          <w:sz w:val="24"/>
          <w:szCs w:val="24"/>
          <w:lang w:val="en-GB"/>
        </w:rPr>
        <w:t>A View from Home and Abroad</w:t>
      </w:r>
    </w:p>
    <w:p w14:paraId="699D2EA1" w14:textId="69B7B105" w:rsidR="00E35C30" w:rsidRPr="009119FA" w:rsidRDefault="00E35C30" w:rsidP="001A1A50">
      <w:pPr>
        <w:pStyle w:val="TITOLO0"/>
        <w:numPr>
          <w:ilvl w:val="1"/>
          <w:numId w:val="4"/>
        </w:numPr>
        <w:jc w:val="both"/>
        <w:rPr>
          <w:rFonts w:cs="Times New Roman"/>
          <w:b w:val="0"/>
          <w:bCs/>
          <w:sz w:val="24"/>
          <w:szCs w:val="24"/>
          <w:lang w:val="en-GB"/>
        </w:rPr>
      </w:pPr>
      <w:r w:rsidRPr="009119FA">
        <w:rPr>
          <w:rFonts w:cs="Times New Roman"/>
          <w:b w:val="0"/>
          <w:bCs/>
          <w:sz w:val="24"/>
          <w:szCs w:val="24"/>
          <w:lang w:val="en-GB"/>
        </w:rPr>
        <w:t>Introduction</w:t>
      </w:r>
    </w:p>
    <w:p w14:paraId="4E12C83B" w14:textId="77777777" w:rsidR="00E35C30" w:rsidRPr="009119FA" w:rsidRDefault="00E35C30" w:rsidP="001A1A50">
      <w:pPr>
        <w:pStyle w:val="TITOLO0"/>
        <w:numPr>
          <w:ilvl w:val="1"/>
          <w:numId w:val="4"/>
        </w:numPr>
        <w:jc w:val="both"/>
        <w:rPr>
          <w:rFonts w:cs="Times New Roman"/>
          <w:b w:val="0"/>
          <w:bCs/>
          <w:sz w:val="24"/>
          <w:szCs w:val="24"/>
          <w:lang w:val="en-GB"/>
        </w:rPr>
      </w:pPr>
      <w:r w:rsidRPr="009119FA">
        <w:rPr>
          <w:rFonts w:cs="Times New Roman"/>
          <w:b w:val="0"/>
          <w:bCs/>
          <w:sz w:val="24"/>
          <w:szCs w:val="24"/>
          <w:lang w:val="en-GB"/>
        </w:rPr>
        <w:t xml:space="preserve"> Unpredictability. The Polish August, 1980 </w:t>
      </w:r>
    </w:p>
    <w:p w14:paraId="41984EEF" w14:textId="4BC6D2DC" w:rsidR="00E35C30" w:rsidRPr="009119FA" w:rsidRDefault="00E35C30" w:rsidP="001A1A50">
      <w:pPr>
        <w:pStyle w:val="TITOLO0"/>
        <w:numPr>
          <w:ilvl w:val="1"/>
          <w:numId w:val="4"/>
        </w:numPr>
        <w:jc w:val="both"/>
        <w:rPr>
          <w:rFonts w:cs="Times New Roman"/>
          <w:b w:val="0"/>
          <w:bCs/>
          <w:sz w:val="24"/>
          <w:szCs w:val="24"/>
          <w:lang w:val="en-GB"/>
        </w:rPr>
      </w:pPr>
      <w:r w:rsidRPr="009119FA">
        <w:rPr>
          <w:rFonts w:cs="Times New Roman"/>
          <w:b w:val="0"/>
          <w:bCs/>
          <w:sz w:val="24"/>
          <w:szCs w:val="24"/>
          <w:lang w:val="en-GB"/>
        </w:rPr>
        <w:t xml:space="preserve"> International reactions</w:t>
      </w:r>
      <w:r w:rsidR="00D9331F" w:rsidRPr="009119FA">
        <w:rPr>
          <w:rFonts w:cs="Times New Roman"/>
          <w:b w:val="0"/>
          <w:bCs/>
          <w:sz w:val="24"/>
          <w:szCs w:val="24"/>
          <w:lang w:val="en-GB"/>
        </w:rPr>
        <w:t>. Navigating enthusiasm, prudence, and uncertainty</w:t>
      </w:r>
    </w:p>
    <w:p w14:paraId="58B67627" w14:textId="45D3EFE2" w:rsidR="00D9331F" w:rsidRPr="009119FA" w:rsidRDefault="00D9331F" w:rsidP="001A1A50">
      <w:pPr>
        <w:pStyle w:val="TITOLO0"/>
        <w:jc w:val="both"/>
        <w:rPr>
          <w:rFonts w:cs="Times New Roman"/>
          <w:b w:val="0"/>
          <w:bCs/>
          <w:sz w:val="24"/>
          <w:szCs w:val="24"/>
          <w:lang w:val="en-GB"/>
        </w:rPr>
      </w:pPr>
      <w:r w:rsidRPr="009119FA">
        <w:rPr>
          <w:rFonts w:cs="Times New Roman"/>
          <w:b w:val="0"/>
          <w:bCs/>
          <w:sz w:val="24"/>
          <w:szCs w:val="24"/>
          <w:lang w:val="en-GB"/>
        </w:rPr>
        <w:t>Conclusion</w:t>
      </w:r>
    </w:p>
    <w:p w14:paraId="6569F1B8" w14:textId="6B63AC3E" w:rsidR="00E35C30" w:rsidRPr="009119FA" w:rsidRDefault="00E35C30" w:rsidP="001A1A50">
      <w:pPr>
        <w:pStyle w:val="TITOLO0"/>
        <w:jc w:val="both"/>
        <w:rPr>
          <w:rFonts w:cs="Times New Roman"/>
          <w:bCs/>
          <w:sz w:val="24"/>
          <w:szCs w:val="24"/>
          <w:lang w:val="en-GB"/>
        </w:rPr>
      </w:pPr>
      <w:r w:rsidRPr="009119FA">
        <w:rPr>
          <w:rFonts w:cs="Times New Roman"/>
          <w:sz w:val="24"/>
          <w:szCs w:val="24"/>
          <w:lang w:val="en-GB"/>
        </w:rPr>
        <w:t xml:space="preserve">Chapter III.  </w:t>
      </w:r>
      <w:r w:rsidRPr="009119FA">
        <w:rPr>
          <w:rFonts w:cs="Times New Roman"/>
          <w:bCs/>
          <w:sz w:val="24"/>
          <w:szCs w:val="24"/>
          <w:lang w:val="en-GB"/>
        </w:rPr>
        <w:t>Preventing the Explosion of the Polish "Witches' Cauldron".</w:t>
      </w:r>
      <w:r w:rsidR="007E695D">
        <w:rPr>
          <w:rFonts w:cs="Times New Roman"/>
          <w:bCs/>
          <w:sz w:val="24"/>
          <w:szCs w:val="24"/>
          <w:lang w:val="en-GB"/>
        </w:rPr>
        <w:t xml:space="preserve"> </w:t>
      </w:r>
      <w:r w:rsidRPr="009119FA">
        <w:rPr>
          <w:rFonts w:cs="Times New Roman"/>
          <w:bCs/>
          <w:sz w:val="24"/>
          <w:szCs w:val="24"/>
          <w:lang w:val="en-GB"/>
        </w:rPr>
        <w:t>1980-1981</w:t>
      </w:r>
    </w:p>
    <w:p w14:paraId="2C6B0AC5" w14:textId="136A669F" w:rsidR="00E35C30" w:rsidRPr="009119FA" w:rsidRDefault="00D9331F" w:rsidP="001A1A50">
      <w:pPr>
        <w:pStyle w:val="TITOLO0"/>
        <w:jc w:val="both"/>
        <w:rPr>
          <w:rFonts w:cs="Times New Roman"/>
          <w:b w:val="0"/>
          <w:sz w:val="24"/>
          <w:szCs w:val="24"/>
          <w:lang w:val="en-GB"/>
        </w:rPr>
      </w:pPr>
      <w:r w:rsidRPr="009119FA">
        <w:rPr>
          <w:rFonts w:cs="Times New Roman"/>
          <w:b w:val="0"/>
          <w:sz w:val="24"/>
          <w:szCs w:val="24"/>
          <w:lang w:val="en-GB"/>
        </w:rPr>
        <w:t xml:space="preserve">3.1 </w:t>
      </w:r>
      <w:r w:rsidR="00E35C30" w:rsidRPr="009119FA">
        <w:rPr>
          <w:rFonts w:cs="Times New Roman"/>
          <w:b w:val="0"/>
          <w:sz w:val="24"/>
          <w:szCs w:val="24"/>
          <w:lang w:val="en-GB"/>
        </w:rPr>
        <w:t>Intro</w:t>
      </w:r>
      <w:r w:rsidRPr="009119FA">
        <w:rPr>
          <w:rFonts w:cs="Times New Roman"/>
          <w:b w:val="0"/>
          <w:sz w:val="24"/>
          <w:szCs w:val="24"/>
          <w:lang w:val="en-GB"/>
        </w:rPr>
        <w:t>duction</w:t>
      </w:r>
    </w:p>
    <w:p w14:paraId="6D500C17" w14:textId="25046D9B" w:rsidR="00D9331F" w:rsidRPr="009119FA" w:rsidRDefault="00D9331F" w:rsidP="001A1A50">
      <w:pPr>
        <w:pStyle w:val="TITOLO0"/>
        <w:jc w:val="both"/>
        <w:rPr>
          <w:rFonts w:cs="Times New Roman"/>
          <w:b w:val="0"/>
          <w:sz w:val="24"/>
          <w:szCs w:val="24"/>
          <w:lang w:val="en-GB"/>
        </w:rPr>
      </w:pPr>
      <w:r w:rsidRPr="009119FA">
        <w:rPr>
          <w:rFonts w:cs="Times New Roman"/>
          <w:b w:val="0"/>
          <w:sz w:val="24"/>
          <w:szCs w:val="24"/>
          <w:lang w:val="en-GB"/>
        </w:rPr>
        <w:t>3.2 Solidarność’s Rollercoaster: Responsibility and Euphoria</w:t>
      </w:r>
    </w:p>
    <w:p w14:paraId="55FF9D50" w14:textId="29D42EC6" w:rsidR="00D9331F" w:rsidRPr="009119FA" w:rsidRDefault="00D9331F" w:rsidP="001A1A50">
      <w:pPr>
        <w:pStyle w:val="TITOLO0"/>
        <w:jc w:val="both"/>
        <w:rPr>
          <w:rFonts w:cs="Times New Roman"/>
          <w:b w:val="0"/>
          <w:sz w:val="20"/>
          <w:szCs w:val="20"/>
          <w:lang w:val="en-GB"/>
        </w:rPr>
      </w:pPr>
      <w:r w:rsidRPr="009119FA">
        <w:rPr>
          <w:rFonts w:cs="Times New Roman"/>
          <w:b w:val="0"/>
          <w:sz w:val="24"/>
          <w:szCs w:val="24"/>
          <w:lang w:val="en-GB"/>
        </w:rPr>
        <w:t>3.3 Solidarność toward the West</w:t>
      </w:r>
      <w:r w:rsidRPr="009119FA">
        <w:rPr>
          <w:rFonts w:cs="Times New Roman"/>
          <w:b w:val="0"/>
          <w:sz w:val="20"/>
          <w:szCs w:val="20"/>
          <w:lang w:val="en-GB"/>
        </w:rPr>
        <w:t>.</w:t>
      </w:r>
    </w:p>
    <w:p w14:paraId="0191BF9A" w14:textId="41F08A91" w:rsidR="00D9331F" w:rsidRPr="002E7527" w:rsidRDefault="00D9331F" w:rsidP="001A1A50">
      <w:pPr>
        <w:pStyle w:val="TITOLO0"/>
        <w:jc w:val="both"/>
        <w:rPr>
          <w:rFonts w:cs="Times New Roman"/>
          <w:b w:val="0"/>
          <w:sz w:val="24"/>
          <w:szCs w:val="24"/>
          <w:lang w:val="fr-FR"/>
        </w:rPr>
      </w:pPr>
      <w:r w:rsidRPr="002E7527">
        <w:rPr>
          <w:rFonts w:cs="Times New Roman"/>
          <w:b w:val="0"/>
          <w:sz w:val="24"/>
          <w:szCs w:val="24"/>
          <w:lang w:val="fr-FR"/>
        </w:rPr>
        <w:t xml:space="preserve">3.4 EEC and </w:t>
      </w:r>
      <w:proofErr w:type="spellStart"/>
      <w:r w:rsidRPr="002E7527">
        <w:rPr>
          <w:rFonts w:cs="Times New Roman"/>
          <w:b w:val="0"/>
          <w:sz w:val="24"/>
          <w:szCs w:val="24"/>
          <w:lang w:val="fr-FR"/>
        </w:rPr>
        <w:t>its</w:t>
      </w:r>
      <w:proofErr w:type="spellEnd"/>
      <w:r w:rsidRPr="002E7527">
        <w:rPr>
          <w:rFonts w:cs="Times New Roman"/>
          <w:b w:val="0"/>
          <w:sz w:val="24"/>
          <w:szCs w:val="24"/>
          <w:lang w:val="fr-FR"/>
        </w:rPr>
        <w:t xml:space="preserve"> </w:t>
      </w:r>
      <w:proofErr w:type="spellStart"/>
      <w:r w:rsidRPr="002E7527">
        <w:rPr>
          <w:rFonts w:cs="Times New Roman"/>
          <w:b w:val="0"/>
          <w:sz w:val="24"/>
          <w:szCs w:val="24"/>
          <w:lang w:val="fr-FR"/>
        </w:rPr>
        <w:t>Member</w:t>
      </w:r>
      <w:proofErr w:type="spellEnd"/>
      <w:r w:rsidRPr="002E7527">
        <w:rPr>
          <w:rFonts w:cs="Times New Roman"/>
          <w:b w:val="0"/>
          <w:sz w:val="24"/>
          <w:szCs w:val="24"/>
          <w:lang w:val="fr-FR"/>
        </w:rPr>
        <w:t xml:space="preserve"> States vis-à-vis Solidarność</w:t>
      </w:r>
    </w:p>
    <w:p w14:paraId="55CBA0EB" w14:textId="5ADED9EF" w:rsidR="00DB5FE3" w:rsidRPr="002E7527" w:rsidRDefault="00DB5FE3" w:rsidP="001A1A50">
      <w:pPr>
        <w:spacing w:line="360" w:lineRule="auto"/>
        <w:jc w:val="both"/>
        <w:rPr>
          <w:sz w:val="24"/>
          <w:szCs w:val="24"/>
          <w:lang w:val="fr-FR"/>
        </w:rPr>
      </w:pPr>
      <w:r w:rsidRPr="002E7527">
        <w:rPr>
          <w:sz w:val="24"/>
          <w:szCs w:val="24"/>
          <w:lang w:val="fr-FR"/>
        </w:rPr>
        <w:t>Conclusion</w:t>
      </w:r>
    </w:p>
    <w:p w14:paraId="736BF692" w14:textId="69D3B4E4" w:rsidR="00DB5FE3" w:rsidRPr="009119FA" w:rsidRDefault="00DB5FE3" w:rsidP="001A1A50">
      <w:pPr>
        <w:spacing w:line="360" w:lineRule="auto"/>
        <w:jc w:val="both"/>
        <w:rPr>
          <w:b/>
          <w:bCs/>
          <w:sz w:val="24"/>
          <w:szCs w:val="24"/>
          <w:lang w:val="en-GB"/>
        </w:rPr>
      </w:pPr>
      <w:proofErr w:type="spellStart"/>
      <w:r w:rsidRPr="002E7527">
        <w:rPr>
          <w:b/>
          <w:bCs/>
          <w:sz w:val="24"/>
          <w:szCs w:val="24"/>
          <w:lang w:val="fr-FR"/>
        </w:rPr>
        <w:t>Chapter</w:t>
      </w:r>
      <w:proofErr w:type="spellEnd"/>
      <w:r w:rsidRPr="002E7527">
        <w:rPr>
          <w:b/>
          <w:bCs/>
          <w:sz w:val="24"/>
          <w:szCs w:val="24"/>
          <w:lang w:val="fr-FR"/>
        </w:rPr>
        <w:t xml:space="preserve"> IV</w:t>
      </w:r>
      <w:r w:rsidRPr="002E7527">
        <w:rPr>
          <w:sz w:val="24"/>
          <w:szCs w:val="24"/>
          <w:lang w:val="fr-FR"/>
        </w:rPr>
        <w:t xml:space="preserve">. </w:t>
      </w:r>
      <w:r w:rsidRPr="009119FA">
        <w:rPr>
          <w:b/>
          <w:bCs/>
          <w:sz w:val="24"/>
          <w:szCs w:val="24"/>
          <w:lang w:val="en-GB"/>
        </w:rPr>
        <w:t>Underground Period</w:t>
      </w:r>
      <w:r w:rsidR="007E695D">
        <w:rPr>
          <w:b/>
          <w:bCs/>
          <w:sz w:val="24"/>
          <w:szCs w:val="24"/>
          <w:lang w:val="en-GB"/>
        </w:rPr>
        <w:t>.</w:t>
      </w:r>
      <w:r w:rsidRPr="009119FA">
        <w:rPr>
          <w:b/>
          <w:bCs/>
          <w:sz w:val="24"/>
          <w:szCs w:val="24"/>
          <w:lang w:val="en-GB"/>
        </w:rPr>
        <w:t xml:space="preserve"> 1982-1987</w:t>
      </w:r>
    </w:p>
    <w:p w14:paraId="06A5DF13" w14:textId="07394468" w:rsidR="00DB5FE3" w:rsidRPr="009119FA" w:rsidRDefault="00DB5FE3" w:rsidP="001A1A50">
      <w:pPr>
        <w:spacing w:line="360" w:lineRule="auto"/>
        <w:jc w:val="both"/>
        <w:rPr>
          <w:sz w:val="24"/>
          <w:szCs w:val="24"/>
          <w:lang w:val="en-GB"/>
        </w:rPr>
      </w:pPr>
      <w:r w:rsidRPr="009119FA">
        <w:rPr>
          <w:sz w:val="24"/>
          <w:szCs w:val="24"/>
          <w:lang w:val="en-GB"/>
        </w:rPr>
        <w:t>4.1 Introduction</w:t>
      </w:r>
    </w:p>
    <w:p w14:paraId="556389E6" w14:textId="3560E158" w:rsidR="00DB5FE3" w:rsidRPr="009119FA" w:rsidRDefault="00DB5FE3" w:rsidP="001A1A50">
      <w:pPr>
        <w:spacing w:line="360" w:lineRule="auto"/>
        <w:jc w:val="both"/>
        <w:rPr>
          <w:sz w:val="24"/>
          <w:szCs w:val="24"/>
          <w:lang w:val="en-GB"/>
        </w:rPr>
      </w:pPr>
      <w:r w:rsidRPr="009119FA">
        <w:rPr>
          <w:sz w:val="24"/>
          <w:szCs w:val="24"/>
          <w:lang w:val="en-GB"/>
        </w:rPr>
        <w:t>4.2 Martial Law 1981-1983</w:t>
      </w:r>
    </w:p>
    <w:p w14:paraId="62418A10" w14:textId="2619EA8F" w:rsidR="00DB5FE3" w:rsidRPr="009119FA" w:rsidRDefault="00DB5FE3" w:rsidP="001A1A50">
      <w:pPr>
        <w:spacing w:line="360" w:lineRule="auto"/>
        <w:jc w:val="both"/>
        <w:rPr>
          <w:sz w:val="24"/>
          <w:szCs w:val="24"/>
          <w:lang w:val="en-GB"/>
        </w:rPr>
      </w:pPr>
      <w:r w:rsidRPr="009119FA">
        <w:rPr>
          <w:sz w:val="24"/>
          <w:szCs w:val="24"/>
          <w:lang w:val="en-GB"/>
        </w:rPr>
        <w:t>4.3 Political Prisoners and Human Rights</w:t>
      </w:r>
    </w:p>
    <w:p w14:paraId="4AB1B6D3" w14:textId="1EBFA987" w:rsidR="00DB5FE3" w:rsidRPr="009119FA" w:rsidRDefault="00DB5FE3" w:rsidP="001A1A50">
      <w:pPr>
        <w:spacing w:line="360" w:lineRule="auto"/>
        <w:jc w:val="both"/>
        <w:rPr>
          <w:sz w:val="24"/>
          <w:szCs w:val="24"/>
          <w:lang w:val="en-GB"/>
        </w:rPr>
      </w:pPr>
      <w:r w:rsidRPr="009119FA">
        <w:rPr>
          <w:sz w:val="24"/>
          <w:szCs w:val="24"/>
          <w:lang w:val="en-GB"/>
        </w:rPr>
        <w:t>4.4 Underground and abroad organization and relations</w:t>
      </w:r>
    </w:p>
    <w:p w14:paraId="1B9BA2CF" w14:textId="58700CCD" w:rsidR="00972C34" w:rsidRPr="009119FA" w:rsidRDefault="00972C34" w:rsidP="001A1A50">
      <w:pPr>
        <w:spacing w:line="360" w:lineRule="auto"/>
        <w:jc w:val="both"/>
        <w:rPr>
          <w:sz w:val="24"/>
          <w:szCs w:val="24"/>
          <w:lang w:val="en-GB"/>
        </w:rPr>
      </w:pPr>
      <w:r w:rsidRPr="009119FA">
        <w:rPr>
          <w:b/>
          <w:bCs/>
          <w:sz w:val="24"/>
          <w:szCs w:val="24"/>
          <w:lang w:val="en-GB"/>
        </w:rPr>
        <w:t>Chapter V. Round Talks and Beyond.</w:t>
      </w:r>
      <w:r w:rsidR="000E7E31">
        <w:rPr>
          <w:b/>
          <w:bCs/>
          <w:sz w:val="24"/>
          <w:szCs w:val="24"/>
          <w:lang w:val="en-GB"/>
        </w:rPr>
        <w:t xml:space="preserve"> 1988-2004</w:t>
      </w:r>
    </w:p>
    <w:sectPr w:rsidR="00972C34" w:rsidRPr="009119FA">
      <w:footerReference w:type="default" r:id="rId11"/>
      <w:type w:val="continuous"/>
      <w:pgSz w:w="11910" w:h="16840"/>
      <w:pgMar w:top="740" w:right="1133" w:bottom="280" w:left="99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43ABD" w14:textId="77777777" w:rsidR="00B9173E" w:rsidRDefault="00B9173E" w:rsidP="00656BA6">
      <w:r>
        <w:separator/>
      </w:r>
    </w:p>
  </w:endnote>
  <w:endnote w:type="continuationSeparator" w:id="0">
    <w:p w14:paraId="3E87E24F" w14:textId="77777777" w:rsidR="00B9173E" w:rsidRDefault="00B9173E" w:rsidP="00656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4665507"/>
      <w:docPartObj>
        <w:docPartGallery w:val="Page Numbers (Bottom of Page)"/>
        <w:docPartUnique/>
      </w:docPartObj>
    </w:sdtPr>
    <w:sdtContent>
      <w:p w14:paraId="7EEA2BEC" w14:textId="624A690B" w:rsidR="006A204C" w:rsidRDefault="006A204C">
        <w:pPr>
          <w:pStyle w:val="Pidipagina"/>
          <w:jc w:val="right"/>
        </w:pPr>
        <w:r>
          <w:fldChar w:fldCharType="begin"/>
        </w:r>
        <w:r>
          <w:instrText>PAGE   \* MERGEFORMAT</w:instrText>
        </w:r>
        <w:r>
          <w:fldChar w:fldCharType="separate"/>
        </w:r>
        <w:r>
          <w:t>2</w:t>
        </w:r>
        <w:r>
          <w:fldChar w:fldCharType="end"/>
        </w:r>
      </w:p>
    </w:sdtContent>
  </w:sdt>
  <w:p w14:paraId="695C2717" w14:textId="77777777" w:rsidR="006A204C" w:rsidRDefault="006A204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F45BE" w14:textId="77777777" w:rsidR="00B9173E" w:rsidRDefault="00B9173E" w:rsidP="00656BA6">
      <w:r>
        <w:separator/>
      </w:r>
    </w:p>
  </w:footnote>
  <w:footnote w:type="continuationSeparator" w:id="0">
    <w:p w14:paraId="6F61BA69" w14:textId="77777777" w:rsidR="00B9173E" w:rsidRDefault="00B9173E" w:rsidP="00656BA6">
      <w:r>
        <w:continuationSeparator/>
      </w:r>
    </w:p>
  </w:footnote>
  <w:footnote w:id="1">
    <w:p w14:paraId="776CEB48" w14:textId="4EF17194" w:rsidR="003D52D2" w:rsidRPr="002E7527" w:rsidRDefault="003D52D2"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lang w:val="it-IT"/>
        </w:rPr>
        <w:t xml:space="preserve"> Fotografia privat</w:t>
      </w:r>
      <w:r w:rsidR="00972C34" w:rsidRPr="002E7527">
        <w:rPr>
          <w:rFonts w:ascii="Times New Roman" w:hAnsi="Times New Roman" w:cs="Times New Roman"/>
          <w:lang w:val="it-IT"/>
        </w:rPr>
        <w:t>a</w:t>
      </w:r>
      <w:r w:rsidRPr="002E7527">
        <w:rPr>
          <w:rFonts w:ascii="Times New Roman" w:hAnsi="Times New Roman" w:cs="Times New Roman"/>
          <w:lang w:val="it-IT"/>
        </w:rPr>
        <w:t xml:space="preserve"> dell’autore</w:t>
      </w:r>
      <w:r w:rsidR="00972C34" w:rsidRPr="002E7527">
        <w:rPr>
          <w:rFonts w:ascii="Times New Roman" w:hAnsi="Times New Roman" w:cs="Times New Roman"/>
          <w:lang w:val="it-IT"/>
        </w:rPr>
        <w:t>.</w:t>
      </w:r>
      <w:r w:rsidRPr="002E7527">
        <w:rPr>
          <w:rFonts w:ascii="Times New Roman" w:hAnsi="Times New Roman" w:cs="Times New Roman"/>
          <w:lang w:val="it-IT"/>
        </w:rPr>
        <w:t xml:space="preserve"> </w:t>
      </w:r>
      <w:proofErr w:type="spellStart"/>
      <w:r w:rsidRPr="002E7527">
        <w:rPr>
          <w:rFonts w:ascii="Times New Roman" w:hAnsi="Times New Roman" w:cs="Times New Roman"/>
          <w:lang w:val="it-IT"/>
        </w:rPr>
        <w:t>European</w:t>
      </w:r>
      <w:proofErr w:type="spellEnd"/>
      <w:r w:rsidRPr="002E7527">
        <w:rPr>
          <w:rFonts w:ascii="Times New Roman" w:hAnsi="Times New Roman" w:cs="Times New Roman"/>
          <w:lang w:val="it-IT"/>
        </w:rPr>
        <w:t xml:space="preserve"> Heritage Label</w:t>
      </w:r>
      <w:r w:rsidR="00972C34" w:rsidRPr="002E7527">
        <w:rPr>
          <w:rFonts w:ascii="Times New Roman" w:hAnsi="Times New Roman" w:cs="Times New Roman"/>
          <w:lang w:val="it-IT"/>
        </w:rPr>
        <w:t>,</w:t>
      </w:r>
      <w:r w:rsidRPr="002E7527">
        <w:rPr>
          <w:rFonts w:ascii="Times New Roman" w:hAnsi="Times New Roman" w:cs="Times New Roman"/>
          <w:lang w:val="it-IT"/>
        </w:rPr>
        <w:t xml:space="preserve"> cantieri di Danzica. </w:t>
      </w:r>
      <w:r w:rsidRPr="002E7527">
        <w:rPr>
          <w:rFonts w:ascii="Times New Roman" w:hAnsi="Times New Roman" w:cs="Times New Roman"/>
          <w:lang w:val="en-US"/>
        </w:rPr>
        <w:t xml:space="preserve">Si </w:t>
      </w:r>
      <w:proofErr w:type="spellStart"/>
      <w:r w:rsidRPr="002E7527">
        <w:rPr>
          <w:rFonts w:ascii="Times New Roman" w:hAnsi="Times New Roman" w:cs="Times New Roman"/>
          <w:lang w:val="en-US"/>
        </w:rPr>
        <w:t>veda</w:t>
      </w:r>
      <w:proofErr w:type="spellEnd"/>
      <w:r w:rsidRPr="002E7527">
        <w:rPr>
          <w:rFonts w:ascii="Times New Roman" w:hAnsi="Times New Roman" w:cs="Times New Roman"/>
          <w:lang w:val="en-US"/>
        </w:rPr>
        <w:t xml:space="preserve"> </w:t>
      </w:r>
      <w:proofErr w:type="spellStart"/>
      <w:r w:rsidRPr="002E7527">
        <w:rPr>
          <w:rFonts w:ascii="Times New Roman" w:hAnsi="Times New Roman" w:cs="Times New Roman"/>
          <w:lang w:val="en-US"/>
        </w:rPr>
        <w:t>anche</w:t>
      </w:r>
      <w:proofErr w:type="spellEnd"/>
      <w:r w:rsidRPr="002E7527">
        <w:rPr>
          <w:rFonts w:ascii="Times New Roman" w:hAnsi="Times New Roman" w:cs="Times New Roman"/>
          <w:lang w:val="en-US"/>
        </w:rPr>
        <w:t xml:space="preserve">: </w:t>
      </w:r>
      <w:r w:rsidR="00972C34" w:rsidRPr="002E7527">
        <w:rPr>
          <w:rFonts w:ascii="Times New Roman" w:hAnsi="Times New Roman" w:cs="Times New Roman"/>
          <w:lang w:val="en-US"/>
        </w:rPr>
        <w:t>“</w:t>
      </w:r>
      <w:r w:rsidRPr="002E7527">
        <w:rPr>
          <w:rFonts w:ascii="Times New Roman" w:hAnsi="Times New Roman" w:cs="Times New Roman"/>
          <w:lang w:val="en-US"/>
        </w:rPr>
        <w:t>The historic Gdańsk Shipyard, Poland</w:t>
      </w:r>
      <w:r w:rsidR="00972C34" w:rsidRPr="002E7527">
        <w:rPr>
          <w:rFonts w:ascii="Times New Roman" w:hAnsi="Times New Roman" w:cs="Times New Roman"/>
          <w:lang w:val="en-US"/>
        </w:rPr>
        <w:t>”</w:t>
      </w:r>
      <w:r w:rsidRPr="002E7527">
        <w:rPr>
          <w:rFonts w:ascii="Times New Roman" w:hAnsi="Times New Roman" w:cs="Times New Roman"/>
          <w:lang w:val="en-US"/>
        </w:rPr>
        <w:t xml:space="preserve">,  in </w:t>
      </w:r>
      <w:r w:rsidRPr="002E7527">
        <w:rPr>
          <w:rFonts w:ascii="Times New Roman" w:hAnsi="Times New Roman" w:cs="Times New Roman"/>
          <w:i/>
          <w:iCs/>
          <w:lang w:val="en-US"/>
        </w:rPr>
        <w:t xml:space="preserve">European Heritage Label sites, </w:t>
      </w:r>
      <w:hyperlink r:id="rId1" w:history="1">
        <w:r w:rsidRPr="002E7527">
          <w:rPr>
            <w:rStyle w:val="Collegamentoipertestuale"/>
            <w:rFonts w:ascii="Times New Roman" w:hAnsi="Times New Roman" w:cs="Times New Roman"/>
            <w:lang w:val="en-US"/>
          </w:rPr>
          <w:t>https://culture.ec.europa.eu/cultural-heritage/initiatives-and-success-stories/european-heritage-label/european-heritage-label-sites/the-historic-gdansk-shipyard-poland</w:t>
        </w:r>
      </w:hyperlink>
      <w:r w:rsidR="00972C34" w:rsidRPr="002E7527">
        <w:rPr>
          <w:rFonts w:ascii="Times New Roman" w:hAnsi="Times New Roman" w:cs="Times New Roman"/>
          <w:i/>
          <w:iCs/>
        </w:rPr>
        <w:t xml:space="preserve">. </w:t>
      </w:r>
    </w:p>
  </w:footnote>
  <w:footnote w:id="2">
    <w:p w14:paraId="3A25932A" w14:textId="4B09F79E" w:rsidR="00BB2A54" w:rsidRPr="002E7527" w:rsidRDefault="00BB2A54" w:rsidP="00467994">
      <w:pPr>
        <w:pStyle w:val="Testonotaapidipagina"/>
        <w:keepNext/>
        <w:keepLines/>
        <w:widowControl w:val="0"/>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lang w:val="en-US"/>
        </w:rPr>
        <w:t xml:space="preserve"> </w:t>
      </w:r>
      <w:proofErr w:type="spellStart"/>
      <w:r w:rsidRPr="002E7527">
        <w:rPr>
          <w:rFonts w:ascii="Times New Roman" w:hAnsi="Times New Roman" w:cs="Times New Roman"/>
          <w:lang w:val="en-US"/>
        </w:rPr>
        <w:t>Brzechczyn</w:t>
      </w:r>
      <w:proofErr w:type="spellEnd"/>
      <w:r w:rsidRPr="002E7527">
        <w:rPr>
          <w:rFonts w:ascii="Times New Roman" w:hAnsi="Times New Roman" w:cs="Times New Roman"/>
          <w:lang w:val="en-US"/>
        </w:rPr>
        <w:t xml:space="preserve"> K., </w:t>
      </w:r>
      <w:r w:rsidRPr="002E7527">
        <w:rPr>
          <w:rFonts w:ascii="Times New Roman" w:hAnsi="Times New Roman" w:cs="Times New Roman"/>
          <w:i/>
          <w:iCs/>
          <w:lang w:val="en-US"/>
        </w:rPr>
        <w:t xml:space="preserve">From Proletarian Revolution to National Uprising. </w:t>
      </w:r>
      <w:r w:rsidRPr="002E7527">
        <w:rPr>
          <w:rFonts w:ascii="Times New Roman" w:hAnsi="Times New Roman" w:cs="Times New Roman"/>
          <w:i/>
          <w:iCs/>
        </w:rPr>
        <w:t>An Overview of Conceptualizations of Polish Solidarność,</w:t>
      </w:r>
      <w:r w:rsidRPr="002E7527">
        <w:rPr>
          <w:rFonts w:ascii="Times New Roman" w:hAnsi="Times New Roman" w:cs="Times New Roman"/>
        </w:rPr>
        <w:t xml:space="preserve"> in «</w:t>
      </w:r>
      <w:proofErr w:type="spellStart"/>
      <w:r w:rsidRPr="002E7527">
        <w:rPr>
          <w:rFonts w:ascii="Times New Roman" w:hAnsi="Times New Roman" w:cs="Times New Roman"/>
        </w:rPr>
        <w:t>Humaniora</w:t>
      </w:r>
      <w:proofErr w:type="spellEnd"/>
      <w:r w:rsidRPr="002E7527">
        <w:rPr>
          <w:rFonts w:ascii="Times New Roman" w:hAnsi="Times New Roman" w:cs="Times New Roman"/>
        </w:rPr>
        <w:t xml:space="preserve">. </w:t>
      </w:r>
      <w:proofErr w:type="spellStart"/>
      <w:r w:rsidRPr="002E7527">
        <w:rPr>
          <w:rFonts w:ascii="Times New Roman" w:hAnsi="Times New Roman" w:cs="Times New Roman"/>
        </w:rPr>
        <w:t>Czasopismo</w:t>
      </w:r>
      <w:proofErr w:type="spellEnd"/>
      <w:r w:rsidRPr="002E7527">
        <w:rPr>
          <w:rFonts w:ascii="Times New Roman" w:hAnsi="Times New Roman" w:cs="Times New Roman"/>
        </w:rPr>
        <w:t xml:space="preserve"> </w:t>
      </w:r>
      <w:proofErr w:type="spellStart"/>
      <w:r w:rsidRPr="002E7527">
        <w:rPr>
          <w:rFonts w:ascii="Times New Roman" w:hAnsi="Times New Roman" w:cs="Times New Roman"/>
        </w:rPr>
        <w:t>Internetowe</w:t>
      </w:r>
      <w:proofErr w:type="spellEnd"/>
      <w:r w:rsidRPr="002E7527">
        <w:rPr>
          <w:rFonts w:ascii="Times New Roman" w:hAnsi="Times New Roman" w:cs="Times New Roman"/>
        </w:rPr>
        <w:t>», 23</w:t>
      </w:r>
      <w:r w:rsidR="0092546F" w:rsidRPr="002E7527">
        <w:rPr>
          <w:rFonts w:ascii="Times New Roman" w:hAnsi="Times New Roman" w:cs="Times New Roman"/>
        </w:rPr>
        <w:t xml:space="preserve"> (</w:t>
      </w:r>
      <w:r w:rsidRPr="002E7527">
        <w:rPr>
          <w:rFonts w:ascii="Times New Roman" w:hAnsi="Times New Roman" w:cs="Times New Roman"/>
        </w:rPr>
        <w:t>3</w:t>
      </w:r>
      <w:r w:rsidR="0092546F" w:rsidRPr="002E7527">
        <w:rPr>
          <w:rFonts w:ascii="Times New Roman" w:hAnsi="Times New Roman" w:cs="Times New Roman"/>
        </w:rPr>
        <w:t>)</w:t>
      </w:r>
      <w:r w:rsidRPr="002E7527">
        <w:rPr>
          <w:rFonts w:ascii="Times New Roman" w:hAnsi="Times New Roman" w:cs="Times New Roman"/>
        </w:rPr>
        <w:t xml:space="preserve">, 2018, pp. 15–50. </w:t>
      </w:r>
      <w:r w:rsidRPr="002E7527">
        <w:rPr>
          <w:rFonts w:ascii="Times New Roman" w:hAnsi="Times New Roman" w:cs="Times New Roman"/>
          <w:lang w:val="it-IT"/>
        </w:rPr>
        <w:t xml:space="preserve">Per </w:t>
      </w:r>
      <w:r w:rsidR="0092546F" w:rsidRPr="002E7527">
        <w:rPr>
          <w:rFonts w:ascii="Times New Roman" w:hAnsi="Times New Roman" w:cs="Times New Roman"/>
          <w:lang w:val="it-IT"/>
        </w:rPr>
        <w:t>l’interpretazione di</w:t>
      </w:r>
      <w:r w:rsidRPr="002E7527">
        <w:rPr>
          <w:rFonts w:ascii="Times New Roman" w:hAnsi="Times New Roman" w:cs="Times New Roman"/>
          <w:lang w:val="it-IT"/>
        </w:rPr>
        <w:t xml:space="preserve"> movimento sociale si vedano: Touraine A. et al., </w:t>
      </w:r>
      <w:proofErr w:type="spellStart"/>
      <w:r w:rsidRPr="002E7527">
        <w:rPr>
          <w:rFonts w:ascii="Times New Roman" w:hAnsi="Times New Roman" w:cs="Times New Roman"/>
          <w:i/>
          <w:iCs/>
          <w:lang w:val="it-IT"/>
        </w:rPr>
        <w:t>Solidarity</w:t>
      </w:r>
      <w:proofErr w:type="spellEnd"/>
      <w:r w:rsidRPr="002E7527">
        <w:rPr>
          <w:rFonts w:ascii="Times New Roman" w:hAnsi="Times New Roman" w:cs="Times New Roman"/>
          <w:i/>
          <w:iCs/>
          <w:lang w:val="it-IT"/>
        </w:rPr>
        <w:t xml:space="preserve">. </w:t>
      </w:r>
      <w:r w:rsidRPr="002E7527">
        <w:rPr>
          <w:rFonts w:ascii="Times New Roman" w:hAnsi="Times New Roman" w:cs="Times New Roman"/>
          <w:i/>
          <w:iCs/>
          <w:lang w:val="en-US"/>
        </w:rPr>
        <w:t>Poland 1980-1981</w:t>
      </w:r>
      <w:r w:rsidRPr="002E7527">
        <w:rPr>
          <w:rFonts w:ascii="Times New Roman" w:hAnsi="Times New Roman" w:cs="Times New Roman"/>
          <w:lang w:val="en-US"/>
        </w:rPr>
        <w:t xml:space="preserve">, Cambridge University Press, Paris, 1981; </w:t>
      </w:r>
      <w:r w:rsidRPr="002E7527">
        <w:rPr>
          <w:rFonts w:ascii="Times New Roman" w:hAnsi="Times New Roman" w:cs="Times New Roman"/>
        </w:rPr>
        <w:t xml:space="preserve">Ost D., </w:t>
      </w:r>
      <w:r w:rsidRPr="002E7527">
        <w:rPr>
          <w:rFonts w:ascii="Times New Roman" w:hAnsi="Times New Roman" w:cs="Times New Roman"/>
          <w:i/>
          <w:iCs/>
        </w:rPr>
        <w:t>Solidarity and the Politics of Anti-Politics. Opposition and Reform in Poland Since 1968,</w:t>
      </w:r>
      <w:r w:rsidRPr="002E7527">
        <w:rPr>
          <w:rFonts w:ascii="Times New Roman" w:hAnsi="Times New Roman" w:cs="Times New Roman"/>
        </w:rPr>
        <w:t xml:space="preserve"> Temple University Press, Philadelphia, 1990; </w:t>
      </w:r>
      <w:proofErr w:type="spellStart"/>
      <w:r w:rsidR="0092546F" w:rsidRPr="002E7527">
        <w:rPr>
          <w:rFonts w:ascii="Times New Roman" w:hAnsi="Times New Roman" w:cs="Times New Roman"/>
        </w:rPr>
        <w:t>m</w:t>
      </w:r>
      <w:r w:rsidRPr="002E7527">
        <w:rPr>
          <w:rFonts w:ascii="Times New Roman" w:hAnsi="Times New Roman" w:cs="Times New Roman"/>
        </w:rPr>
        <w:t>ovimento</w:t>
      </w:r>
      <w:proofErr w:type="spellEnd"/>
      <w:r w:rsidRPr="002E7527">
        <w:rPr>
          <w:rFonts w:ascii="Times New Roman" w:hAnsi="Times New Roman" w:cs="Times New Roman"/>
        </w:rPr>
        <w:t xml:space="preserve"> </w:t>
      </w:r>
      <w:proofErr w:type="spellStart"/>
      <w:r w:rsidRPr="002E7527">
        <w:rPr>
          <w:rFonts w:ascii="Times New Roman" w:hAnsi="Times New Roman" w:cs="Times New Roman"/>
        </w:rPr>
        <w:t>rivoluzionario</w:t>
      </w:r>
      <w:proofErr w:type="spellEnd"/>
      <w:r w:rsidRPr="002E7527">
        <w:rPr>
          <w:rFonts w:ascii="Times New Roman" w:hAnsi="Times New Roman" w:cs="Times New Roman"/>
        </w:rPr>
        <w:t xml:space="preserve">: Staniszkis J., </w:t>
      </w:r>
      <w:r w:rsidRPr="002E7527">
        <w:rPr>
          <w:rFonts w:ascii="Times New Roman" w:hAnsi="Times New Roman" w:cs="Times New Roman"/>
          <w:i/>
          <w:iCs/>
        </w:rPr>
        <w:t>Poland's Self-Limiting Revolution</w:t>
      </w:r>
      <w:r w:rsidRPr="002E7527">
        <w:rPr>
          <w:rFonts w:ascii="Times New Roman" w:hAnsi="Times New Roman" w:cs="Times New Roman"/>
        </w:rPr>
        <w:t xml:space="preserve">, Princeton University Press, Princeton, 1984; Laba R., </w:t>
      </w:r>
      <w:r w:rsidRPr="002E7527">
        <w:rPr>
          <w:rFonts w:ascii="Times New Roman" w:hAnsi="Times New Roman" w:cs="Times New Roman"/>
          <w:i/>
          <w:iCs/>
        </w:rPr>
        <w:t xml:space="preserve">The Roots of Solidarity. A Political Sociology of Poland’s Working Class </w:t>
      </w:r>
      <w:r w:rsidR="002E37ED" w:rsidRPr="002E7527">
        <w:rPr>
          <w:rFonts w:ascii="Times New Roman" w:hAnsi="Times New Roman" w:cs="Times New Roman"/>
          <w:i/>
          <w:iCs/>
        </w:rPr>
        <w:t>D</w:t>
      </w:r>
      <w:r w:rsidRPr="002E7527">
        <w:rPr>
          <w:rFonts w:ascii="Times New Roman" w:hAnsi="Times New Roman" w:cs="Times New Roman"/>
          <w:i/>
          <w:iCs/>
        </w:rPr>
        <w:t>emocratization</w:t>
      </w:r>
      <w:r w:rsidRPr="002E7527">
        <w:rPr>
          <w:rFonts w:ascii="Times New Roman" w:hAnsi="Times New Roman" w:cs="Times New Roman"/>
        </w:rPr>
        <w:t>, Princeton University Press, Princeton, 1991</w:t>
      </w:r>
      <w:r w:rsidR="0092546F" w:rsidRPr="002E7527">
        <w:rPr>
          <w:rFonts w:ascii="Times New Roman" w:hAnsi="Times New Roman" w:cs="Times New Roman"/>
        </w:rPr>
        <w:t xml:space="preserve">; </w:t>
      </w:r>
      <w:proofErr w:type="spellStart"/>
      <w:r w:rsidRPr="002E7527">
        <w:rPr>
          <w:rFonts w:ascii="Times New Roman" w:hAnsi="Times New Roman" w:cs="Times New Roman"/>
        </w:rPr>
        <w:t>dissiden</w:t>
      </w:r>
      <w:r w:rsidR="0092546F" w:rsidRPr="002E7527">
        <w:rPr>
          <w:rFonts w:ascii="Times New Roman" w:hAnsi="Times New Roman" w:cs="Times New Roman"/>
        </w:rPr>
        <w:t>za</w:t>
      </w:r>
      <w:proofErr w:type="spellEnd"/>
      <w:r w:rsidRPr="002E7527">
        <w:rPr>
          <w:rFonts w:ascii="Times New Roman" w:hAnsi="Times New Roman" w:cs="Times New Roman"/>
        </w:rPr>
        <w:t>/</w:t>
      </w:r>
      <w:proofErr w:type="spellStart"/>
      <w:r w:rsidRPr="002E7527">
        <w:rPr>
          <w:rFonts w:ascii="Times New Roman" w:hAnsi="Times New Roman" w:cs="Times New Roman"/>
        </w:rPr>
        <w:t>diritti</w:t>
      </w:r>
      <w:proofErr w:type="spellEnd"/>
      <w:r w:rsidRPr="002E7527">
        <w:rPr>
          <w:rFonts w:ascii="Times New Roman" w:hAnsi="Times New Roman" w:cs="Times New Roman"/>
        </w:rPr>
        <w:t xml:space="preserve"> </w:t>
      </w:r>
      <w:proofErr w:type="spellStart"/>
      <w:r w:rsidRPr="002E7527">
        <w:rPr>
          <w:rFonts w:ascii="Times New Roman" w:hAnsi="Times New Roman" w:cs="Times New Roman"/>
        </w:rPr>
        <w:t>umani</w:t>
      </w:r>
      <w:proofErr w:type="spellEnd"/>
      <w:r w:rsidRPr="002E7527">
        <w:rPr>
          <w:rFonts w:ascii="Times New Roman" w:hAnsi="Times New Roman" w:cs="Times New Roman"/>
        </w:rPr>
        <w:t xml:space="preserve">: Brier R., </w:t>
      </w:r>
      <w:r w:rsidRPr="002E7527">
        <w:rPr>
          <w:rFonts w:ascii="Times New Roman" w:hAnsi="Times New Roman" w:cs="Times New Roman"/>
          <w:i/>
          <w:iCs/>
        </w:rPr>
        <w:t>Poland’s Solidarity Movement and the global politics of human rights</w:t>
      </w:r>
      <w:r w:rsidRPr="002E7527">
        <w:rPr>
          <w:rFonts w:ascii="Times New Roman" w:hAnsi="Times New Roman" w:cs="Times New Roman"/>
        </w:rPr>
        <w:t>, Cambridge University Press, Cambridge, 2021</w:t>
      </w:r>
      <w:r w:rsidR="002E37ED" w:rsidRPr="002E7527">
        <w:rPr>
          <w:rFonts w:ascii="Times New Roman" w:hAnsi="Times New Roman" w:cs="Times New Roman"/>
        </w:rPr>
        <w:t>.</w:t>
      </w:r>
    </w:p>
  </w:footnote>
  <w:footnote w:id="3">
    <w:p w14:paraId="4E8B81E8" w14:textId="77777777" w:rsidR="00BB2A54" w:rsidRPr="002E7527" w:rsidRDefault="00BB2A54" w:rsidP="00467994">
      <w:pPr>
        <w:pStyle w:val="Testonotaapidipagina"/>
        <w:keepNext/>
        <w:keepLines/>
        <w:widowControl w:val="0"/>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Osa M., </w:t>
      </w:r>
      <w:r w:rsidRPr="002E7527">
        <w:rPr>
          <w:rFonts w:ascii="Times New Roman" w:hAnsi="Times New Roman" w:cs="Times New Roman"/>
          <w:i/>
          <w:iCs/>
        </w:rPr>
        <w:t>Solidarity and contention Networks of Polish Opposition</w:t>
      </w:r>
      <w:r w:rsidRPr="002E7527">
        <w:rPr>
          <w:rFonts w:ascii="Times New Roman" w:hAnsi="Times New Roman" w:cs="Times New Roman"/>
        </w:rPr>
        <w:t>, University of Minnesota Press, Minneapolis, 2003, p. 5.</w:t>
      </w:r>
    </w:p>
  </w:footnote>
  <w:footnote w:id="4">
    <w:p w14:paraId="59037E57" w14:textId="77777777" w:rsidR="00BB2A54" w:rsidRPr="002E7527" w:rsidRDefault="00BB2A54"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Ash T. G., </w:t>
      </w:r>
      <w:r w:rsidRPr="002E7527">
        <w:rPr>
          <w:rFonts w:ascii="Times New Roman" w:hAnsi="Times New Roman" w:cs="Times New Roman"/>
          <w:i/>
          <w:iCs/>
        </w:rPr>
        <w:t>The Polish Revolution: Solidarity 1980–81</w:t>
      </w:r>
      <w:r w:rsidRPr="002E7527">
        <w:rPr>
          <w:rFonts w:ascii="Times New Roman" w:hAnsi="Times New Roman" w:cs="Times New Roman"/>
        </w:rPr>
        <w:t>, Granta, London, 1991.</w:t>
      </w:r>
    </w:p>
  </w:footnote>
  <w:footnote w:id="5">
    <w:p w14:paraId="7612C05F" w14:textId="2EEEB701" w:rsidR="00BB2A54" w:rsidRPr="002E7527" w:rsidRDefault="00BB2A54"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Friszke A. , </w:t>
      </w:r>
      <w:r w:rsidRPr="002E7527">
        <w:rPr>
          <w:rFonts w:ascii="Times New Roman" w:hAnsi="Times New Roman" w:cs="Times New Roman"/>
          <w:i/>
          <w:iCs/>
          <w:lang w:val="pl-PL"/>
        </w:rPr>
        <w:t>Rewolucja Solidarności 1980–1981</w:t>
      </w:r>
      <w:r w:rsidRPr="002E7527">
        <w:rPr>
          <w:rFonts w:ascii="Times New Roman" w:hAnsi="Times New Roman" w:cs="Times New Roman"/>
          <w:lang w:val="pl-PL"/>
        </w:rPr>
        <w:t xml:space="preserve">, Kraków, Znak Horizont, 2014; </w:t>
      </w:r>
      <w:r w:rsidR="0092546F" w:rsidRPr="002E7527">
        <w:rPr>
          <w:rFonts w:ascii="Times New Roman" w:hAnsi="Times New Roman" w:cs="Times New Roman"/>
          <w:lang w:val="pl-PL"/>
        </w:rPr>
        <w:t>Id.</w:t>
      </w:r>
      <w:r w:rsidRPr="002E7527">
        <w:rPr>
          <w:rFonts w:ascii="Times New Roman" w:hAnsi="Times New Roman" w:cs="Times New Roman"/>
          <w:lang w:val="pl-PL"/>
        </w:rPr>
        <w:t xml:space="preserve">, </w:t>
      </w:r>
      <w:r w:rsidRPr="002E7527">
        <w:rPr>
          <w:rFonts w:ascii="Times New Roman" w:hAnsi="Times New Roman" w:cs="Times New Roman"/>
          <w:i/>
          <w:iCs/>
          <w:lang w:val="pl-PL"/>
        </w:rPr>
        <w:t>Solidarność podziemna 1981-1989</w:t>
      </w:r>
      <w:r w:rsidRPr="002E7527">
        <w:rPr>
          <w:rFonts w:ascii="Times New Roman" w:hAnsi="Times New Roman" w:cs="Times New Roman"/>
          <w:lang w:val="pl-PL"/>
        </w:rPr>
        <w:t xml:space="preserve">, Warszawa, ISP PAN, 2006; </w:t>
      </w:r>
      <w:r w:rsidR="0092546F" w:rsidRPr="002E7527">
        <w:rPr>
          <w:rFonts w:ascii="Times New Roman" w:hAnsi="Times New Roman" w:cs="Times New Roman"/>
          <w:lang w:val="pl-PL"/>
        </w:rPr>
        <w:t>Id</w:t>
      </w:r>
      <w:r w:rsidRPr="002E7527">
        <w:rPr>
          <w:rFonts w:ascii="Times New Roman" w:hAnsi="Times New Roman" w:cs="Times New Roman"/>
          <w:lang w:val="pl-PL"/>
        </w:rPr>
        <w:t xml:space="preserve">., </w:t>
      </w:r>
      <w:r w:rsidRPr="002E7527">
        <w:rPr>
          <w:rFonts w:ascii="Times New Roman" w:hAnsi="Times New Roman" w:cs="Times New Roman"/>
          <w:i/>
          <w:iCs/>
          <w:lang w:val="pl-PL"/>
        </w:rPr>
        <w:t>Opozycja polityczna w PRL 1945–1980</w:t>
      </w:r>
      <w:r w:rsidRPr="002E7527">
        <w:rPr>
          <w:rFonts w:ascii="Times New Roman" w:hAnsi="Times New Roman" w:cs="Times New Roman"/>
          <w:lang w:val="pl-PL"/>
        </w:rPr>
        <w:t>, Aneks, London, 1994.</w:t>
      </w:r>
    </w:p>
  </w:footnote>
  <w:footnote w:id="6">
    <w:p w14:paraId="47CD53ED" w14:textId="70F1AD2C" w:rsidR="00BB2A54" w:rsidRPr="002E7527" w:rsidRDefault="00BB2A54"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Goddeeris I., </w:t>
      </w:r>
      <w:r w:rsidRPr="002E7527">
        <w:rPr>
          <w:rFonts w:ascii="Times New Roman" w:hAnsi="Times New Roman" w:cs="Times New Roman"/>
          <w:i/>
          <w:iCs/>
        </w:rPr>
        <w:t>Lobbying Allies? The NSZZ Solidarność Coordinating Office Abroad, 1982–1989,</w:t>
      </w:r>
      <w:r w:rsidRPr="002E7527">
        <w:rPr>
          <w:rFonts w:ascii="Times New Roman" w:hAnsi="Times New Roman" w:cs="Times New Roman"/>
        </w:rPr>
        <w:t xml:space="preserve"> in «Journal of Cold War Studies», 13</w:t>
      </w:r>
      <w:r w:rsidR="0092546F" w:rsidRPr="002E7527">
        <w:rPr>
          <w:rFonts w:ascii="Times New Roman" w:hAnsi="Times New Roman" w:cs="Times New Roman"/>
        </w:rPr>
        <w:t xml:space="preserve"> (</w:t>
      </w:r>
      <w:r w:rsidRPr="002E7527">
        <w:rPr>
          <w:rFonts w:ascii="Times New Roman" w:hAnsi="Times New Roman" w:cs="Times New Roman"/>
        </w:rPr>
        <w:t>3), 2011, pp. 83–125</w:t>
      </w:r>
      <w:r w:rsidR="0092546F" w:rsidRPr="002E7527">
        <w:rPr>
          <w:rFonts w:ascii="Times New Roman" w:hAnsi="Times New Roman" w:cs="Times New Roman"/>
        </w:rPr>
        <w:t xml:space="preserve">; </w:t>
      </w:r>
      <w:r w:rsidR="0092546F" w:rsidRPr="002E7527">
        <w:rPr>
          <w:rFonts w:ascii="Times New Roman" w:hAnsi="Times New Roman" w:cs="Times New Roman"/>
          <w:lang w:val="en-US"/>
        </w:rPr>
        <w:t>Id.,</w:t>
      </w:r>
      <w:r w:rsidRPr="002E7527">
        <w:rPr>
          <w:rFonts w:ascii="Times New Roman" w:hAnsi="Times New Roman" w:cs="Times New Roman"/>
          <w:lang w:val="en-US"/>
        </w:rPr>
        <w:t xml:space="preserve"> eds.</w:t>
      </w:r>
      <w:r w:rsidR="0092546F" w:rsidRPr="002E7527">
        <w:rPr>
          <w:rFonts w:ascii="Times New Roman" w:hAnsi="Times New Roman" w:cs="Times New Roman"/>
          <w:lang w:val="en-US"/>
        </w:rPr>
        <w:t>,</w:t>
      </w:r>
      <w:r w:rsidRPr="002E7527">
        <w:rPr>
          <w:rFonts w:ascii="Times New Roman" w:hAnsi="Times New Roman" w:cs="Times New Roman"/>
          <w:lang w:val="en-US"/>
        </w:rPr>
        <w:t xml:space="preserve"> </w:t>
      </w:r>
      <w:r w:rsidRPr="002E7527">
        <w:rPr>
          <w:rFonts w:ascii="Times New Roman" w:hAnsi="Times New Roman" w:cs="Times New Roman"/>
          <w:i/>
          <w:iCs/>
          <w:lang w:val="en-US"/>
        </w:rPr>
        <w:t>Solidarity with Solidarity Western European Trade Unions and the Polish Crisis, 1980–1982</w:t>
      </w:r>
      <w:r w:rsidRPr="002E7527">
        <w:rPr>
          <w:rFonts w:ascii="Times New Roman" w:hAnsi="Times New Roman" w:cs="Times New Roman"/>
          <w:lang w:val="en-US"/>
        </w:rPr>
        <w:t xml:space="preserve">, Lanham, Lexington Books, 2010; </w:t>
      </w:r>
      <w:r w:rsidR="0092546F" w:rsidRPr="002E7527">
        <w:rPr>
          <w:rFonts w:ascii="Times New Roman" w:hAnsi="Times New Roman" w:cs="Times New Roman"/>
          <w:lang w:val="en-US"/>
        </w:rPr>
        <w:t>Id.</w:t>
      </w:r>
      <w:r w:rsidRPr="002E7527">
        <w:rPr>
          <w:rFonts w:ascii="Times New Roman" w:hAnsi="Times New Roman" w:cs="Times New Roman"/>
          <w:lang w:val="en-US"/>
        </w:rPr>
        <w:t xml:space="preserve">, </w:t>
      </w:r>
      <w:r w:rsidRPr="002E7527">
        <w:rPr>
          <w:rFonts w:ascii="Times New Roman" w:hAnsi="Times New Roman" w:cs="Times New Roman"/>
          <w:i/>
          <w:iCs/>
          <w:lang w:val="en-US"/>
        </w:rPr>
        <w:t>Western Trade Unions And Solidarność: A Comparison From A Polish Perspective</w:t>
      </w:r>
      <w:r w:rsidRPr="002E7527">
        <w:rPr>
          <w:rFonts w:ascii="Times New Roman" w:hAnsi="Times New Roman" w:cs="Times New Roman"/>
          <w:lang w:val="en-US"/>
        </w:rPr>
        <w:t>, in «The Polish Review», 52</w:t>
      </w:r>
      <w:r w:rsidR="0092546F" w:rsidRPr="002E7527">
        <w:rPr>
          <w:rFonts w:ascii="Times New Roman" w:hAnsi="Times New Roman" w:cs="Times New Roman"/>
          <w:lang w:val="en-US"/>
        </w:rPr>
        <w:t xml:space="preserve"> (</w:t>
      </w:r>
      <w:r w:rsidRPr="002E7527">
        <w:rPr>
          <w:rFonts w:ascii="Times New Roman" w:hAnsi="Times New Roman" w:cs="Times New Roman"/>
          <w:lang w:val="en-US"/>
        </w:rPr>
        <w:t>3</w:t>
      </w:r>
      <w:r w:rsidR="0092546F" w:rsidRPr="002E7527">
        <w:rPr>
          <w:rFonts w:ascii="Times New Roman" w:hAnsi="Times New Roman" w:cs="Times New Roman"/>
          <w:lang w:val="en-US"/>
        </w:rPr>
        <w:t>)</w:t>
      </w:r>
      <w:r w:rsidRPr="002E7527">
        <w:rPr>
          <w:rFonts w:ascii="Times New Roman" w:hAnsi="Times New Roman" w:cs="Times New Roman"/>
          <w:lang w:val="en-US"/>
        </w:rPr>
        <w:t>, 2007, pp. 305-329</w:t>
      </w:r>
      <w:r w:rsidR="0092546F" w:rsidRPr="002E7527">
        <w:rPr>
          <w:rFonts w:ascii="Times New Roman" w:hAnsi="Times New Roman" w:cs="Times New Roman"/>
          <w:lang w:val="en-US"/>
        </w:rPr>
        <w:t>.</w:t>
      </w:r>
    </w:p>
  </w:footnote>
  <w:footnote w:id="7">
    <w:p w14:paraId="2B1978E0" w14:textId="02F709D6" w:rsidR="00BB2A54" w:rsidRPr="002E7527" w:rsidRDefault="00BB2A54"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Domber G., </w:t>
      </w:r>
      <w:r w:rsidRPr="002E7527">
        <w:rPr>
          <w:rFonts w:ascii="Times New Roman" w:hAnsi="Times New Roman" w:cs="Times New Roman"/>
          <w:i/>
          <w:iCs/>
        </w:rPr>
        <w:t>The AFL-CIO, the Reagan Administration and Solidarność</w:t>
      </w:r>
      <w:r w:rsidRPr="002E7527">
        <w:rPr>
          <w:rFonts w:ascii="Times New Roman" w:hAnsi="Times New Roman" w:cs="Times New Roman"/>
        </w:rPr>
        <w:t xml:space="preserve">, in «Polish Review», 52 </w:t>
      </w:r>
      <w:r w:rsidR="0092546F" w:rsidRPr="002E7527">
        <w:rPr>
          <w:rFonts w:ascii="Times New Roman" w:hAnsi="Times New Roman" w:cs="Times New Roman"/>
        </w:rPr>
        <w:t>(</w:t>
      </w:r>
      <w:r w:rsidRPr="002E7527">
        <w:rPr>
          <w:rFonts w:ascii="Times New Roman" w:hAnsi="Times New Roman" w:cs="Times New Roman"/>
        </w:rPr>
        <w:t>3</w:t>
      </w:r>
      <w:r w:rsidR="0092546F" w:rsidRPr="002E7527">
        <w:rPr>
          <w:rFonts w:ascii="Times New Roman" w:hAnsi="Times New Roman" w:cs="Times New Roman"/>
        </w:rPr>
        <w:t>)</w:t>
      </w:r>
      <w:r w:rsidRPr="002E7527">
        <w:rPr>
          <w:rFonts w:ascii="Times New Roman" w:hAnsi="Times New Roman" w:cs="Times New Roman"/>
        </w:rPr>
        <w:t xml:space="preserve">, 2007, 277-304.  </w:t>
      </w:r>
    </w:p>
  </w:footnote>
  <w:footnote w:id="8">
    <w:p w14:paraId="0B3EF1AF" w14:textId="4B7C7C0F" w:rsidR="00BB2A54" w:rsidRPr="002E7527" w:rsidRDefault="00BB2A54"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Swider</w:t>
      </w:r>
      <w:proofErr w:type="spellEnd"/>
      <w:r w:rsidRPr="002E7527">
        <w:rPr>
          <w:rFonts w:ascii="Times New Roman" w:hAnsi="Times New Roman" w:cs="Times New Roman"/>
          <w:lang w:val="pl-PL"/>
        </w:rPr>
        <w:t xml:space="preserve"> M., </w:t>
      </w:r>
      <w:r w:rsidRPr="002E7527">
        <w:rPr>
          <w:rFonts w:ascii="Times New Roman" w:hAnsi="Times New Roman" w:cs="Times New Roman"/>
          <w:i/>
          <w:iCs/>
          <w:lang w:val="pl-PL"/>
        </w:rPr>
        <w:t>Solidarność związkowa. Niemiecka Federacja Związków Zawodowych (DGB) wobec NSZZ „Solidarność</w:t>
      </w:r>
      <w:r w:rsidRPr="002E7527">
        <w:rPr>
          <w:rFonts w:ascii="Times New Roman" w:hAnsi="Times New Roman" w:cs="Times New Roman"/>
          <w:lang w:val="pl-PL"/>
        </w:rPr>
        <w:t xml:space="preserve">”, Akademia Ignatianum, </w:t>
      </w:r>
      <w:r w:rsidR="0092546F" w:rsidRPr="002E7527">
        <w:rPr>
          <w:rFonts w:ascii="Times New Roman" w:hAnsi="Times New Roman" w:cs="Times New Roman"/>
          <w:lang w:val="pl-PL"/>
        </w:rPr>
        <w:t>Krakòw</w:t>
      </w:r>
      <w:r w:rsidRPr="002E7527">
        <w:rPr>
          <w:rFonts w:ascii="Times New Roman" w:hAnsi="Times New Roman" w:cs="Times New Roman"/>
          <w:lang w:val="pl-PL"/>
        </w:rPr>
        <w:t>, 2020.</w:t>
      </w:r>
    </w:p>
  </w:footnote>
  <w:footnote w:id="9">
    <w:p w14:paraId="60AEB915" w14:textId="15FB63AE" w:rsidR="001401B2" w:rsidRPr="002E7527" w:rsidRDefault="001401B2"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Antonio </w:t>
      </w:r>
      <w:proofErr w:type="spellStart"/>
      <w:r w:rsidRPr="002E7527">
        <w:rPr>
          <w:rFonts w:ascii="Times New Roman" w:hAnsi="Times New Roman" w:cs="Times New Roman"/>
          <w:lang w:val="pl-PL"/>
        </w:rPr>
        <w:t>Macchia</w:t>
      </w:r>
      <w:proofErr w:type="spellEnd"/>
      <w:r w:rsidRPr="002E7527">
        <w:rPr>
          <w:rFonts w:ascii="Times New Roman" w:hAnsi="Times New Roman" w:cs="Times New Roman"/>
          <w:lang w:val="pl-PL"/>
        </w:rPr>
        <w:t xml:space="preserve">, </w:t>
      </w:r>
      <w:proofErr w:type="spellStart"/>
      <w:r w:rsidRPr="002E7527">
        <w:rPr>
          <w:rFonts w:ascii="Times New Roman" w:hAnsi="Times New Roman" w:cs="Times New Roman"/>
          <w:i/>
          <w:iCs/>
          <w:lang w:val="pl-PL"/>
        </w:rPr>
        <w:t>Italian</w:t>
      </w:r>
      <w:proofErr w:type="spellEnd"/>
      <w:r w:rsidRPr="002E7527">
        <w:rPr>
          <w:rFonts w:ascii="Times New Roman" w:hAnsi="Times New Roman" w:cs="Times New Roman"/>
          <w:i/>
          <w:iCs/>
          <w:lang w:val="pl-PL"/>
        </w:rPr>
        <w:t xml:space="preserve"> Trade </w:t>
      </w:r>
      <w:proofErr w:type="spellStart"/>
      <w:r w:rsidRPr="002E7527">
        <w:rPr>
          <w:rFonts w:ascii="Times New Roman" w:hAnsi="Times New Roman" w:cs="Times New Roman"/>
          <w:i/>
          <w:iCs/>
          <w:lang w:val="pl-PL"/>
        </w:rPr>
        <w:t>Unions</w:t>
      </w:r>
      <w:proofErr w:type="spellEnd"/>
      <w:r w:rsidRPr="002E7527">
        <w:rPr>
          <w:rFonts w:ascii="Times New Roman" w:hAnsi="Times New Roman" w:cs="Times New Roman"/>
          <w:i/>
          <w:iCs/>
          <w:lang w:val="pl-PL"/>
        </w:rPr>
        <w:t xml:space="preserve"> and </w:t>
      </w:r>
      <w:r w:rsidR="00972C34" w:rsidRPr="002E7527">
        <w:rPr>
          <w:rFonts w:ascii="Times New Roman" w:hAnsi="Times New Roman" w:cs="Times New Roman"/>
          <w:i/>
          <w:iCs/>
          <w:lang w:val="pl-PL"/>
        </w:rPr>
        <w:t xml:space="preserve">Solidarność </w:t>
      </w:r>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an</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Example</w:t>
      </w:r>
      <w:proofErr w:type="spellEnd"/>
      <w:r w:rsidRPr="002E7527">
        <w:rPr>
          <w:rFonts w:ascii="Times New Roman" w:hAnsi="Times New Roman" w:cs="Times New Roman"/>
          <w:i/>
          <w:iCs/>
          <w:lang w:val="pl-PL"/>
        </w:rPr>
        <w:t xml:space="preserve"> of International </w:t>
      </w:r>
      <w:proofErr w:type="spellStart"/>
      <w:r w:rsidRPr="002E7527">
        <w:rPr>
          <w:rFonts w:ascii="Times New Roman" w:hAnsi="Times New Roman" w:cs="Times New Roman"/>
          <w:i/>
          <w:iCs/>
          <w:lang w:val="pl-PL"/>
        </w:rPr>
        <w:t>Cooperation</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at</w:t>
      </w:r>
      <w:proofErr w:type="spellEnd"/>
      <w:r w:rsidRPr="002E7527">
        <w:rPr>
          <w:rFonts w:ascii="Times New Roman" w:hAnsi="Times New Roman" w:cs="Times New Roman"/>
          <w:i/>
          <w:iCs/>
          <w:lang w:val="pl-PL"/>
        </w:rPr>
        <w:t xml:space="preserve"> Non–Non-</w:t>
      </w:r>
      <w:proofErr w:type="spellStart"/>
      <w:r w:rsidRPr="002E7527">
        <w:rPr>
          <w:rFonts w:ascii="Times New Roman" w:hAnsi="Times New Roman" w:cs="Times New Roman"/>
          <w:i/>
          <w:iCs/>
          <w:lang w:val="pl-PL"/>
        </w:rPr>
        <w:t>Governamental</w:t>
      </w:r>
      <w:proofErr w:type="spellEnd"/>
      <w:r w:rsidRPr="002E7527">
        <w:rPr>
          <w:rFonts w:ascii="Times New Roman" w:hAnsi="Times New Roman" w:cs="Times New Roman"/>
          <w:i/>
          <w:iCs/>
          <w:lang w:val="pl-PL"/>
        </w:rPr>
        <w:t xml:space="preserve"> Level</w:t>
      </w:r>
      <w:r w:rsidRPr="002E7527">
        <w:rPr>
          <w:rFonts w:ascii="Times New Roman" w:hAnsi="Times New Roman" w:cs="Times New Roman"/>
          <w:lang w:val="pl-PL"/>
        </w:rPr>
        <w:t xml:space="preserve">, in </w:t>
      </w:r>
      <w:proofErr w:type="spellStart"/>
      <w:r w:rsidRPr="002E7527">
        <w:rPr>
          <w:rFonts w:ascii="Times New Roman" w:hAnsi="Times New Roman" w:cs="Times New Roman"/>
          <w:lang w:val="pl-PL"/>
        </w:rPr>
        <w:t>Massimo</w:t>
      </w:r>
      <w:proofErr w:type="spellEnd"/>
      <w:r w:rsidRPr="002E7527">
        <w:rPr>
          <w:rFonts w:ascii="Times New Roman" w:hAnsi="Times New Roman" w:cs="Times New Roman"/>
          <w:lang w:val="pl-PL"/>
        </w:rPr>
        <w:t xml:space="preserve"> Maria </w:t>
      </w:r>
      <w:proofErr w:type="spellStart"/>
      <w:r w:rsidRPr="002E7527">
        <w:rPr>
          <w:rFonts w:ascii="Times New Roman" w:hAnsi="Times New Roman" w:cs="Times New Roman"/>
          <w:lang w:val="pl-PL"/>
        </w:rPr>
        <w:t>Caneva</w:t>
      </w:r>
      <w:proofErr w:type="spellEnd"/>
      <w:r w:rsidR="0092546F"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ed</w:t>
      </w:r>
      <w:r w:rsidR="0092546F" w:rsidRPr="002E7527">
        <w:rPr>
          <w:rFonts w:ascii="Times New Roman" w:hAnsi="Times New Roman" w:cs="Times New Roman"/>
          <w:lang w:val="pl-PL"/>
        </w:rPr>
        <w:t>s</w:t>
      </w:r>
      <w:proofErr w:type="spellEnd"/>
      <w:r w:rsidRPr="002E7527">
        <w:rPr>
          <w:rFonts w:ascii="Times New Roman" w:hAnsi="Times New Roman" w:cs="Times New Roman"/>
          <w:lang w:val="pl-PL"/>
        </w:rPr>
        <w:t xml:space="preserve">., </w:t>
      </w:r>
      <w:r w:rsidRPr="002E7527">
        <w:rPr>
          <w:rFonts w:ascii="Times New Roman" w:hAnsi="Times New Roman" w:cs="Times New Roman"/>
          <w:i/>
          <w:iCs/>
          <w:lang w:val="pl-PL"/>
        </w:rPr>
        <w:t xml:space="preserve">University </w:t>
      </w:r>
      <w:proofErr w:type="spellStart"/>
      <w:r w:rsidRPr="002E7527">
        <w:rPr>
          <w:rFonts w:ascii="Times New Roman" w:hAnsi="Times New Roman" w:cs="Times New Roman"/>
          <w:i/>
          <w:iCs/>
          <w:lang w:val="pl-PL"/>
        </w:rPr>
        <w:t>Cooperation</w:t>
      </w:r>
      <w:proofErr w:type="spellEnd"/>
      <w:r w:rsidRPr="002E7527">
        <w:rPr>
          <w:rFonts w:ascii="Times New Roman" w:hAnsi="Times New Roman" w:cs="Times New Roman"/>
          <w:i/>
          <w:iCs/>
          <w:lang w:val="pl-PL"/>
        </w:rPr>
        <w:t xml:space="preserve"> and </w:t>
      </w:r>
      <w:proofErr w:type="spellStart"/>
      <w:r w:rsidRPr="002E7527">
        <w:rPr>
          <w:rFonts w:ascii="Times New Roman" w:hAnsi="Times New Roman" w:cs="Times New Roman"/>
          <w:i/>
          <w:iCs/>
          <w:lang w:val="pl-PL"/>
        </w:rPr>
        <w:t>Process</w:t>
      </w:r>
      <w:proofErr w:type="spellEnd"/>
      <w:r w:rsidRPr="002E7527">
        <w:rPr>
          <w:rFonts w:ascii="Times New Roman" w:hAnsi="Times New Roman" w:cs="Times New Roman"/>
          <w:i/>
          <w:iCs/>
          <w:lang w:val="pl-PL"/>
        </w:rPr>
        <w:t xml:space="preserve"> of </w:t>
      </w:r>
      <w:proofErr w:type="spellStart"/>
      <w:r w:rsidRPr="002E7527">
        <w:rPr>
          <w:rFonts w:ascii="Times New Roman" w:hAnsi="Times New Roman" w:cs="Times New Roman"/>
          <w:i/>
          <w:iCs/>
          <w:lang w:val="pl-PL"/>
        </w:rPr>
        <w:t>Peace</w:t>
      </w:r>
      <w:proofErr w:type="spellEnd"/>
      <w:r w:rsidRPr="002E7527">
        <w:rPr>
          <w:rFonts w:ascii="Times New Roman" w:hAnsi="Times New Roman" w:cs="Times New Roman"/>
          <w:lang w:val="pl-PL"/>
        </w:rPr>
        <w:t>,</w:t>
      </w:r>
      <w:r w:rsidR="0092546F" w:rsidRPr="002E7527">
        <w:rPr>
          <w:rFonts w:ascii="Times New Roman" w:hAnsi="Times New Roman" w:cs="Times New Roman"/>
          <w:lang w:val="pl-PL"/>
        </w:rPr>
        <w:t xml:space="preserve"> </w:t>
      </w:r>
      <w:proofErr w:type="spellStart"/>
      <w:r w:rsidR="0092546F" w:rsidRPr="002E7527">
        <w:rPr>
          <w:rFonts w:ascii="Times New Roman" w:hAnsi="Times New Roman" w:cs="Times New Roman"/>
          <w:lang w:val="pl-PL"/>
        </w:rPr>
        <w:t>Aracne</w:t>
      </w:r>
      <w:proofErr w:type="spellEnd"/>
      <w:r w:rsidR="0092546F" w:rsidRPr="002E7527">
        <w:rPr>
          <w:rFonts w:ascii="Times New Roman" w:hAnsi="Times New Roman" w:cs="Times New Roman"/>
          <w:lang w:val="pl-PL"/>
        </w:rPr>
        <w:t xml:space="preserve"> </w:t>
      </w:r>
      <w:proofErr w:type="spellStart"/>
      <w:r w:rsidR="0092546F" w:rsidRPr="002E7527">
        <w:rPr>
          <w:rFonts w:ascii="Times New Roman" w:hAnsi="Times New Roman" w:cs="Times New Roman"/>
          <w:lang w:val="pl-PL"/>
        </w:rPr>
        <w:t>Editrice</w:t>
      </w:r>
      <w:proofErr w:type="spellEnd"/>
      <w:r w:rsidR="0092546F" w:rsidRPr="002E7527">
        <w:rPr>
          <w:rFonts w:ascii="Times New Roman" w:hAnsi="Times New Roman" w:cs="Times New Roman"/>
          <w:lang w:val="pl-PL"/>
        </w:rPr>
        <w:t xml:space="preserve">, </w:t>
      </w:r>
      <w:r w:rsidRPr="002E7527">
        <w:rPr>
          <w:rFonts w:ascii="Times New Roman" w:hAnsi="Times New Roman" w:cs="Times New Roman"/>
          <w:lang w:val="pl-PL"/>
        </w:rPr>
        <w:t xml:space="preserve">Rome, 2020; Jaworska K., </w:t>
      </w:r>
      <w:proofErr w:type="spellStart"/>
      <w:r w:rsidRPr="002E7527">
        <w:rPr>
          <w:rFonts w:ascii="Times New Roman" w:hAnsi="Times New Roman" w:cs="Times New Roman"/>
          <w:lang w:val="pl-PL"/>
        </w:rPr>
        <w:t>Simiand</w:t>
      </w:r>
      <w:proofErr w:type="spellEnd"/>
      <w:r w:rsidRPr="002E7527">
        <w:rPr>
          <w:rFonts w:ascii="Times New Roman" w:hAnsi="Times New Roman" w:cs="Times New Roman"/>
          <w:lang w:val="pl-PL"/>
        </w:rPr>
        <w:t xml:space="preserve"> C.</w:t>
      </w:r>
      <w:r w:rsidR="0092546F"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eds</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Soldali</w:t>
      </w:r>
      <w:proofErr w:type="spellEnd"/>
      <w:r w:rsidRPr="002E7527">
        <w:rPr>
          <w:rFonts w:ascii="Times New Roman" w:hAnsi="Times New Roman" w:cs="Times New Roman"/>
          <w:i/>
          <w:iCs/>
          <w:lang w:val="pl-PL"/>
        </w:rPr>
        <w:t xml:space="preserve"> con </w:t>
      </w:r>
      <w:r w:rsidR="00972C34" w:rsidRPr="002E7527">
        <w:rPr>
          <w:rFonts w:ascii="Times New Roman" w:hAnsi="Times New Roman" w:cs="Times New Roman"/>
          <w:i/>
          <w:iCs/>
          <w:lang w:val="pl-PL"/>
        </w:rPr>
        <w:t xml:space="preserve">Solidarność </w:t>
      </w:r>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Torino</w:t>
      </w:r>
      <w:proofErr w:type="spellEnd"/>
      <w:r w:rsidRPr="002E7527">
        <w:rPr>
          <w:rFonts w:ascii="Times New Roman" w:hAnsi="Times New Roman" w:cs="Times New Roman"/>
          <w:i/>
          <w:iCs/>
          <w:lang w:val="pl-PL"/>
        </w:rPr>
        <w:t xml:space="preserve"> e </w:t>
      </w:r>
      <w:proofErr w:type="spellStart"/>
      <w:r w:rsidRPr="002E7527">
        <w:rPr>
          <w:rFonts w:ascii="Times New Roman" w:hAnsi="Times New Roman" w:cs="Times New Roman"/>
          <w:i/>
          <w:iCs/>
          <w:lang w:val="pl-PL"/>
        </w:rPr>
        <w:t>il</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sindacato</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libero</w:t>
      </w:r>
      <w:proofErr w:type="spellEnd"/>
      <w:r w:rsidRPr="002E7527">
        <w:rPr>
          <w:rFonts w:ascii="Times New Roman" w:hAnsi="Times New Roman" w:cs="Times New Roman"/>
          <w:i/>
          <w:iCs/>
          <w:lang w:val="pl-PL"/>
        </w:rPr>
        <w:t xml:space="preserve"> </w:t>
      </w:r>
      <w:proofErr w:type="spellStart"/>
      <w:r w:rsidRPr="002E7527">
        <w:rPr>
          <w:rFonts w:ascii="Times New Roman" w:hAnsi="Times New Roman" w:cs="Times New Roman"/>
          <w:i/>
          <w:iCs/>
          <w:lang w:val="pl-PL"/>
        </w:rPr>
        <w:t>polacco</w:t>
      </w:r>
      <w:proofErr w:type="spellEnd"/>
      <w:r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FrancoAngeli</w:t>
      </w:r>
      <w:proofErr w:type="spellEnd"/>
      <w:r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Milano</w:t>
      </w:r>
      <w:proofErr w:type="spellEnd"/>
      <w:r w:rsidRPr="002E7527">
        <w:rPr>
          <w:rFonts w:ascii="Times New Roman" w:hAnsi="Times New Roman" w:cs="Times New Roman"/>
          <w:lang w:val="pl-PL"/>
        </w:rPr>
        <w:t>, 2017.</w:t>
      </w:r>
    </w:p>
  </w:footnote>
  <w:footnote w:id="10">
    <w:p w14:paraId="5ACBF787" w14:textId="34250261" w:rsidR="00F00AB7" w:rsidRPr="002E7527" w:rsidRDefault="00F00AB7"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Pleskot P., </w:t>
      </w:r>
      <w:r w:rsidRPr="002E7527">
        <w:rPr>
          <w:rFonts w:ascii="Times New Roman" w:hAnsi="Times New Roman" w:cs="Times New Roman"/>
          <w:i/>
          <w:iCs/>
          <w:lang w:val="pl-PL"/>
        </w:rPr>
        <w:t>Kłopotliwa panna „S” postawy polityczne Zachodu wobec „Solidarności” na tle stosunków z pRl</w:t>
      </w:r>
      <w:r w:rsidRPr="002E7527">
        <w:rPr>
          <w:rFonts w:ascii="Times New Roman" w:hAnsi="Times New Roman" w:cs="Times New Roman"/>
          <w:lang w:val="pl-PL"/>
        </w:rPr>
        <w:t xml:space="preserve"> </w:t>
      </w:r>
      <w:r w:rsidRPr="002E7527">
        <w:rPr>
          <w:rFonts w:ascii="Times New Roman" w:hAnsi="Times New Roman" w:cs="Times New Roman"/>
          <w:i/>
          <w:iCs/>
          <w:lang w:val="pl-PL"/>
        </w:rPr>
        <w:t>(1980–1989),</w:t>
      </w:r>
      <w:r w:rsidRPr="002E7527">
        <w:rPr>
          <w:rFonts w:ascii="Times New Roman" w:hAnsi="Times New Roman" w:cs="Times New Roman"/>
          <w:lang w:val="pl-PL"/>
        </w:rPr>
        <w:t xml:space="preserve"> Instytut Pamięci Narodowej, </w:t>
      </w:r>
      <w:proofErr w:type="spellStart"/>
      <w:r w:rsidR="0092546F" w:rsidRPr="002E7527">
        <w:rPr>
          <w:rFonts w:ascii="Times New Roman" w:hAnsi="Times New Roman" w:cs="Times New Roman"/>
          <w:lang w:val="pl-PL"/>
        </w:rPr>
        <w:t>Warsaw</w:t>
      </w:r>
      <w:proofErr w:type="spellEnd"/>
      <w:r w:rsidR="0092546F" w:rsidRPr="002E7527">
        <w:rPr>
          <w:rFonts w:ascii="Times New Roman" w:hAnsi="Times New Roman" w:cs="Times New Roman"/>
          <w:lang w:val="pl-PL"/>
        </w:rPr>
        <w:t xml:space="preserve">, </w:t>
      </w:r>
      <w:r w:rsidRPr="002E7527">
        <w:rPr>
          <w:rFonts w:ascii="Times New Roman" w:hAnsi="Times New Roman" w:cs="Times New Roman"/>
          <w:lang w:val="pl-PL"/>
        </w:rPr>
        <w:t>2013.</w:t>
      </w:r>
    </w:p>
  </w:footnote>
  <w:footnote w:id="11">
    <w:p w14:paraId="55368B1A" w14:textId="0D3D3D82" w:rsidR="00F00AB7" w:rsidRPr="002E7527" w:rsidRDefault="00F00AB7"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Trepanier L., Domaradzki S., Stanke J.</w:t>
      </w:r>
      <w:r w:rsidR="0092546F" w:rsidRPr="002E7527">
        <w:rPr>
          <w:rFonts w:ascii="Times New Roman" w:hAnsi="Times New Roman" w:cs="Times New Roman"/>
        </w:rPr>
        <w:t>,</w:t>
      </w:r>
      <w:r w:rsidRPr="002E7527">
        <w:rPr>
          <w:rFonts w:ascii="Times New Roman" w:hAnsi="Times New Roman" w:cs="Times New Roman"/>
        </w:rPr>
        <w:t xml:space="preserve"> eds., </w:t>
      </w:r>
      <w:r w:rsidRPr="002E7527">
        <w:rPr>
          <w:rFonts w:ascii="Times New Roman" w:hAnsi="Times New Roman" w:cs="Times New Roman"/>
          <w:i/>
          <w:iCs/>
        </w:rPr>
        <w:t>The Solidarity Movement and Perspectives on the Last Decade of the Cold War</w:t>
      </w:r>
      <w:r w:rsidRPr="002E7527">
        <w:rPr>
          <w:rFonts w:ascii="Times New Roman" w:hAnsi="Times New Roman" w:cs="Times New Roman"/>
        </w:rPr>
        <w:t>, AFM Publishing House, Krak</w:t>
      </w:r>
      <w:r w:rsidR="0092546F" w:rsidRPr="002E7527">
        <w:rPr>
          <w:rFonts w:ascii="Times New Roman" w:hAnsi="Times New Roman" w:cs="Times New Roman"/>
        </w:rPr>
        <w:t>ò</w:t>
      </w:r>
      <w:r w:rsidRPr="002E7527">
        <w:rPr>
          <w:rFonts w:ascii="Times New Roman" w:hAnsi="Times New Roman" w:cs="Times New Roman"/>
        </w:rPr>
        <w:t>w, 2010, pp. 27-66.</w:t>
      </w:r>
    </w:p>
  </w:footnote>
  <w:footnote w:id="12">
    <w:p w14:paraId="1157A4F4" w14:textId="6A9A00F3" w:rsidR="00F00AB7" w:rsidRPr="002E7527" w:rsidRDefault="00F00AB7"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Sjursen H., </w:t>
      </w:r>
      <w:r w:rsidRPr="002E7527">
        <w:rPr>
          <w:rFonts w:ascii="Times New Roman" w:hAnsi="Times New Roman" w:cs="Times New Roman"/>
          <w:i/>
          <w:iCs/>
        </w:rPr>
        <w:t>The United States, Western Europe, and the Polish Crises. International Relations in the Second Cold War</w:t>
      </w:r>
      <w:r w:rsidRPr="002E7527">
        <w:rPr>
          <w:rFonts w:ascii="Times New Roman" w:hAnsi="Times New Roman" w:cs="Times New Roman"/>
        </w:rPr>
        <w:t>, Palgrave McMillan, New York, 2003</w:t>
      </w:r>
      <w:r w:rsidR="0092546F" w:rsidRPr="002E7527">
        <w:rPr>
          <w:rFonts w:ascii="Times New Roman" w:hAnsi="Times New Roman" w:cs="Times New Roman"/>
        </w:rPr>
        <w:t>.</w:t>
      </w:r>
    </w:p>
  </w:footnote>
  <w:footnote w:id="13">
    <w:p w14:paraId="200E8427" w14:textId="6A1FB2A9" w:rsidR="00F00AB7" w:rsidRPr="002E7527" w:rsidRDefault="00F00AB7"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Domber G. F., </w:t>
      </w:r>
      <w:r w:rsidRPr="002E7527">
        <w:rPr>
          <w:rFonts w:ascii="Times New Roman" w:hAnsi="Times New Roman" w:cs="Times New Roman"/>
          <w:i/>
          <w:iCs/>
        </w:rPr>
        <w:t>Empowering Revolution. America, Poland and the End of the Cold War</w:t>
      </w:r>
      <w:r w:rsidRPr="002E7527">
        <w:rPr>
          <w:rFonts w:ascii="Times New Roman" w:hAnsi="Times New Roman" w:cs="Times New Roman"/>
        </w:rPr>
        <w:t>, University of North Carolina Press</w:t>
      </w:r>
      <w:r w:rsidR="000D3FC5">
        <w:rPr>
          <w:rFonts w:ascii="Times New Roman" w:hAnsi="Times New Roman" w:cs="Times New Roman"/>
        </w:rPr>
        <w:t xml:space="preserve">, </w:t>
      </w:r>
      <w:r w:rsidR="000D3FC5" w:rsidRPr="002E7527">
        <w:rPr>
          <w:rFonts w:ascii="Times New Roman" w:hAnsi="Times New Roman" w:cs="Times New Roman"/>
        </w:rPr>
        <w:t>Chapel Hill</w:t>
      </w:r>
      <w:r w:rsidRPr="002E7527">
        <w:rPr>
          <w:rFonts w:ascii="Times New Roman" w:hAnsi="Times New Roman" w:cs="Times New Roman"/>
        </w:rPr>
        <w:t xml:space="preserve"> </w:t>
      </w:r>
      <w:r w:rsidRPr="000D3FC5">
        <w:rPr>
          <w:rFonts w:ascii="Times New Roman" w:hAnsi="Times New Roman" w:cs="Times New Roman"/>
        </w:rPr>
        <w:t xml:space="preserve">Si </w:t>
      </w:r>
      <w:proofErr w:type="spellStart"/>
      <w:r w:rsidRPr="000D3FC5">
        <w:rPr>
          <w:rFonts w:ascii="Times New Roman" w:hAnsi="Times New Roman" w:cs="Times New Roman"/>
        </w:rPr>
        <w:t>veda</w:t>
      </w:r>
      <w:proofErr w:type="spellEnd"/>
      <w:r w:rsidRPr="000D3FC5">
        <w:rPr>
          <w:rFonts w:ascii="Times New Roman" w:hAnsi="Times New Roman" w:cs="Times New Roman"/>
        </w:rPr>
        <w:t xml:space="preserve"> </w:t>
      </w:r>
      <w:proofErr w:type="spellStart"/>
      <w:r w:rsidRPr="000D3FC5">
        <w:rPr>
          <w:rFonts w:ascii="Times New Roman" w:hAnsi="Times New Roman" w:cs="Times New Roman"/>
        </w:rPr>
        <w:t>anche</w:t>
      </w:r>
      <w:proofErr w:type="spellEnd"/>
      <w:r w:rsidRPr="000D3FC5">
        <w:rPr>
          <w:rFonts w:ascii="Times New Roman" w:hAnsi="Times New Roman" w:cs="Times New Roman"/>
        </w:rPr>
        <w:t xml:space="preserve">: </w:t>
      </w:r>
      <w:r w:rsidR="00585A01" w:rsidRPr="000D3FC5">
        <w:rPr>
          <w:rFonts w:ascii="Times New Roman" w:hAnsi="Times New Roman" w:cs="Times New Roman"/>
        </w:rPr>
        <w:t>Frybes M.,</w:t>
      </w:r>
      <w:r w:rsidR="00585A01" w:rsidRPr="000D3FC5">
        <w:rPr>
          <w:rFonts w:ascii="Times New Roman" w:hAnsi="Times New Roman" w:cs="Times New Roman"/>
          <w:i/>
          <w:iCs/>
        </w:rPr>
        <w:t xml:space="preserve"> Amerykańscy i francuscy przyjaciele “Solidarności”. </w:t>
      </w:r>
      <w:r w:rsidR="00585A01" w:rsidRPr="002E7527">
        <w:rPr>
          <w:rFonts w:ascii="Times New Roman" w:hAnsi="Times New Roman" w:cs="Times New Roman"/>
          <w:i/>
          <w:iCs/>
          <w:lang w:val="pl-PL"/>
        </w:rPr>
        <w:t>Reakcje społeczne na “Solidarność” we Francji i w Stanach Zjednoczonych w latach 1980–1989</w:t>
      </w:r>
      <w:r w:rsidR="00585A01" w:rsidRPr="002E7527">
        <w:rPr>
          <w:rFonts w:ascii="Times New Roman" w:hAnsi="Times New Roman" w:cs="Times New Roman"/>
          <w:lang w:val="pl-PL"/>
        </w:rPr>
        <w:t xml:space="preserve">, Instytut Pamięci Narodowej, </w:t>
      </w:r>
      <w:proofErr w:type="spellStart"/>
      <w:r w:rsidR="00585A01" w:rsidRPr="002E7527">
        <w:rPr>
          <w:rFonts w:ascii="Times New Roman" w:hAnsi="Times New Roman" w:cs="Times New Roman"/>
          <w:lang w:val="pl-PL"/>
        </w:rPr>
        <w:t>Warsaw</w:t>
      </w:r>
      <w:proofErr w:type="spellEnd"/>
      <w:r w:rsidR="00585A01" w:rsidRPr="002E7527">
        <w:rPr>
          <w:rFonts w:ascii="Times New Roman" w:hAnsi="Times New Roman" w:cs="Times New Roman"/>
          <w:lang w:val="pl-PL"/>
        </w:rPr>
        <w:t>, 2021</w:t>
      </w:r>
      <w:r w:rsidR="002E37ED" w:rsidRPr="002E7527">
        <w:rPr>
          <w:rFonts w:ascii="Times New Roman" w:hAnsi="Times New Roman" w:cs="Times New Roman"/>
          <w:lang w:val="pl-PL"/>
        </w:rPr>
        <w:t>.</w:t>
      </w:r>
    </w:p>
  </w:footnote>
  <w:footnote w:id="14">
    <w:p w14:paraId="3C536705" w14:textId="74CE738B" w:rsidR="00F00AB7" w:rsidRPr="002E7527" w:rsidRDefault="00F00AB7"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lang w:val="en-US"/>
        </w:rPr>
        <w:t xml:space="preserve"> Tavani S., </w:t>
      </w:r>
      <w:r w:rsidRPr="002E7527">
        <w:rPr>
          <w:rFonts w:ascii="Times New Roman" w:hAnsi="Times New Roman" w:cs="Times New Roman"/>
          <w:i/>
          <w:iCs/>
          <w:lang w:val="en-US"/>
        </w:rPr>
        <w:t>Muddling Through the European Bloc System: The Evolution of Italian-Polish Relations over the 1970’s and 1980’s</w:t>
      </w:r>
      <w:r w:rsidRPr="002E7527">
        <w:rPr>
          <w:rFonts w:ascii="Times New Roman" w:hAnsi="Times New Roman" w:cs="Times New Roman"/>
          <w:lang w:val="en-US"/>
        </w:rPr>
        <w:t>, in Loth W., Păun N.</w:t>
      </w:r>
      <w:r w:rsidR="00585A01" w:rsidRPr="002E7527">
        <w:rPr>
          <w:rFonts w:ascii="Times New Roman" w:hAnsi="Times New Roman" w:cs="Times New Roman"/>
          <w:lang w:val="en-US"/>
        </w:rPr>
        <w:t xml:space="preserve">, </w:t>
      </w:r>
      <w:r w:rsidRPr="002E7527">
        <w:rPr>
          <w:rFonts w:ascii="Times New Roman" w:hAnsi="Times New Roman" w:cs="Times New Roman"/>
          <w:lang w:val="en-US"/>
        </w:rPr>
        <w:t xml:space="preserve">eds.,  </w:t>
      </w:r>
      <w:r w:rsidRPr="002E7527">
        <w:rPr>
          <w:rFonts w:ascii="Times New Roman" w:hAnsi="Times New Roman" w:cs="Times New Roman"/>
          <w:i/>
          <w:iCs/>
          <w:lang w:val="en-US"/>
        </w:rPr>
        <w:t>Disintegration and Integration in East-Central Europe</w:t>
      </w:r>
      <w:r w:rsidRPr="002E7527">
        <w:rPr>
          <w:rFonts w:ascii="Times New Roman" w:hAnsi="Times New Roman" w:cs="Times New Roman"/>
          <w:lang w:val="en-US"/>
        </w:rPr>
        <w:t>, Nomos Verlagsgesellschaft, Baden-Baden, 2014.</w:t>
      </w:r>
    </w:p>
  </w:footnote>
  <w:footnote w:id="15">
    <w:p w14:paraId="7A6AA246" w14:textId="5642D01D" w:rsidR="00070629" w:rsidRPr="002E7527" w:rsidRDefault="00070629"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Boel B.</w:t>
      </w:r>
      <w:r w:rsidR="00585A01" w:rsidRPr="002E7527">
        <w:rPr>
          <w:rFonts w:ascii="Times New Roman" w:hAnsi="Times New Roman" w:cs="Times New Roman"/>
        </w:rPr>
        <w:t xml:space="preserve">, </w:t>
      </w:r>
      <w:r w:rsidRPr="002E7527">
        <w:rPr>
          <w:rFonts w:ascii="Times New Roman" w:hAnsi="Times New Roman" w:cs="Times New Roman"/>
          <w:i/>
          <w:iCs/>
        </w:rPr>
        <w:t>Who Helped the Soviet Bloc Dissidents? Western Subversive Encounters Beyond the Iron Curtain During the Cold War: Narratives, Approaches, Puzzles</w:t>
      </w:r>
      <w:r w:rsidR="00585A01" w:rsidRPr="002E7527">
        <w:rPr>
          <w:rFonts w:ascii="Times New Roman" w:hAnsi="Times New Roman" w:cs="Times New Roman"/>
        </w:rPr>
        <w:t>, in «</w:t>
      </w:r>
      <w:r w:rsidRPr="002E7527">
        <w:rPr>
          <w:rFonts w:ascii="Times New Roman" w:hAnsi="Times New Roman" w:cs="Times New Roman"/>
        </w:rPr>
        <w:t>Cold War History</w:t>
      </w:r>
      <w:r w:rsidR="00585A01" w:rsidRPr="002E7527">
        <w:rPr>
          <w:rFonts w:ascii="Times New Roman" w:hAnsi="Times New Roman" w:cs="Times New Roman"/>
        </w:rPr>
        <w:t>»,</w:t>
      </w:r>
      <w:r w:rsidRPr="002E7527">
        <w:rPr>
          <w:rFonts w:ascii="Times New Roman" w:hAnsi="Times New Roman" w:cs="Times New Roman"/>
        </w:rPr>
        <w:t xml:space="preserve"> 1</w:t>
      </w:r>
      <w:r w:rsidR="00585A01" w:rsidRPr="002E7527">
        <w:rPr>
          <w:rFonts w:ascii="Times New Roman" w:hAnsi="Times New Roman" w:cs="Times New Roman"/>
        </w:rPr>
        <w:t xml:space="preserve"> (</w:t>
      </w:r>
      <w:r w:rsidRPr="002E7527">
        <w:rPr>
          <w:rFonts w:ascii="Times New Roman" w:hAnsi="Times New Roman" w:cs="Times New Roman"/>
        </w:rPr>
        <w:t>34</w:t>
      </w:r>
      <w:r w:rsidR="00585A01" w:rsidRPr="002E7527">
        <w:rPr>
          <w:rFonts w:ascii="Times New Roman" w:hAnsi="Times New Roman" w:cs="Times New Roman"/>
        </w:rPr>
        <w:t>), 2024, pp. 2-34</w:t>
      </w:r>
      <w:r w:rsidRPr="002E7527">
        <w:rPr>
          <w:rFonts w:ascii="Times New Roman" w:hAnsi="Times New Roman" w:cs="Times New Roman"/>
        </w:rPr>
        <w:t xml:space="preserve">; Berger S., </w:t>
      </w:r>
      <w:r w:rsidR="00972C34" w:rsidRPr="002E7527">
        <w:rPr>
          <w:rFonts w:ascii="Times New Roman" w:hAnsi="Times New Roman" w:cs="Times New Roman"/>
          <w:i/>
          <w:iCs/>
        </w:rPr>
        <w:t xml:space="preserve">Solidarność </w:t>
      </w:r>
      <w:r w:rsidRPr="002E7527">
        <w:rPr>
          <w:rFonts w:ascii="Times New Roman" w:hAnsi="Times New Roman" w:cs="Times New Roman"/>
          <w:i/>
          <w:iCs/>
        </w:rPr>
        <w:t>´, Western Solidarity and Détente: A Transnational Approach</w:t>
      </w:r>
      <w:r w:rsidRPr="002E7527">
        <w:rPr>
          <w:rFonts w:ascii="Times New Roman" w:hAnsi="Times New Roman" w:cs="Times New Roman"/>
        </w:rPr>
        <w:t xml:space="preserve">, in «European Review», 16 </w:t>
      </w:r>
      <w:r w:rsidR="00585A01" w:rsidRPr="002E7527">
        <w:rPr>
          <w:rFonts w:ascii="Times New Roman" w:hAnsi="Times New Roman" w:cs="Times New Roman"/>
        </w:rPr>
        <w:t>(</w:t>
      </w:r>
      <w:r w:rsidRPr="002E7527">
        <w:rPr>
          <w:rFonts w:ascii="Times New Roman" w:hAnsi="Times New Roman" w:cs="Times New Roman"/>
        </w:rPr>
        <w:t>1</w:t>
      </w:r>
      <w:r w:rsidR="00585A01" w:rsidRPr="002E7527">
        <w:rPr>
          <w:rFonts w:ascii="Times New Roman" w:hAnsi="Times New Roman" w:cs="Times New Roman"/>
        </w:rPr>
        <w:t>)</w:t>
      </w:r>
      <w:r w:rsidRPr="002E7527">
        <w:rPr>
          <w:rFonts w:ascii="Times New Roman" w:hAnsi="Times New Roman" w:cs="Times New Roman"/>
        </w:rPr>
        <w:t>, 2008, pp. 75–84.</w:t>
      </w:r>
    </w:p>
  </w:footnote>
  <w:footnote w:id="16">
    <w:p w14:paraId="0BB62BC6" w14:textId="5CE39CE0" w:rsidR="00070629" w:rsidRPr="002E7527" w:rsidRDefault="00070629"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Snyder S. B., </w:t>
      </w:r>
      <w:r w:rsidRPr="002E7527">
        <w:rPr>
          <w:rFonts w:ascii="Times New Roman" w:hAnsi="Times New Roman" w:cs="Times New Roman"/>
          <w:i/>
          <w:iCs/>
        </w:rPr>
        <w:t>Bringing the Transnational In: Writing Human Rights into</w:t>
      </w:r>
      <w:r w:rsidR="00AF0A61">
        <w:rPr>
          <w:rFonts w:ascii="Times New Roman" w:hAnsi="Times New Roman" w:cs="Times New Roman"/>
          <w:i/>
          <w:iCs/>
        </w:rPr>
        <w:t xml:space="preserve"> </w:t>
      </w:r>
      <w:r w:rsidRPr="002E7527">
        <w:rPr>
          <w:rFonts w:ascii="Times New Roman" w:hAnsi="Times New Roman" w:cs="Times New Roman"/>
          <w:i/>
          <w:iCs/>
        </w:rPr>
        <w:t>the International History of the Cold War</w:t>
      </w:r>
      <w:r w:rsidRPr="002E7527">
        <w:rPr>
          <w:rFonts w:ascii="Times New Roman" w:hAnsi="Times New Roman" w:cs="Times New Roman"/>
        </w:rPr>
        <w:t>, in «The International History of the Cold War, Diplomacy &amp;amp; Statecraft», 24</w:t>
      </w:r>
      <w:r w:rsidR="00AF0A61">
        <w:rPr>
          <w:rFonts w:ascii="Times New Roman" w:hAnsi="Times New Roman" w:cs="Times New Roman"/>
        </w:rPr>
        <w:t xml:space="preserve"> (</w:t>
      </w:r>
      <w:r w:rsidRPr="002E7527">
        <w:rPr>
          <w:rFonts w:ascii="Times New Roman" w:hAnsi="Times New Roman" w:cs="Times New Roman"/>
        </w:rPr>
        <w:t>1</w:t>
      </w:r>
      <w:r w:rsidR="00AF0A61">
        <w:rPr>
          <w:rFonts w:ascii="Times New Roman" w:hAnsi="Times New Roman" w:cs="Times New Roman"/>
        </w:rPr>
        <w:t>)</w:t>
      </w:r>
      <w:r w:rsidR="00BB4102">
        <w:rPr>
          <w:rFonts w:ascii="Times New Roman" w:hAnsi="Times New Roman" w:cs="Times New Roman"/>
        </w:rPr>
        <w:t>, 2013, pp. 100-116</w:t>
      </w:r>
      <w:r w:rsidRPr="002E7527">
        <w:rPr>
          <w:rFonts w:ascii="Times New Roman" w:hAnsi="Times New Roman" w:cs="Times New Roman"/>
        </w:rPr>
        <w:t xml:space="preserve">; Scott-Smith G., </w:t>
      </w:r>
      <w:r w:rsidRPr="002E7527">
        <w:rPr>
          <w:rFonts w:ascii="Times New Roman" w:hAnsi="Times New Roman" w:cs="Times New Roman"/>
          <w:i/>
          <w:iCs/>
        </w:rPr>
        <w:t>Introduction: Private diplomacy, making the citizen visible</w:t>
      </w:r>
      <w:r w:rsidRPr="002E7527">
        <w:rPr>
          <w:rFonts w:ascii="Times New Roman" w:hAnsi="Times New Roman" w:cs="Times New Roman"/>
        </w:rPr>
        <w:t>, in« New Global Studies», 8</w:t>
      </w:r>
      <w:r w:rsidR="00585A01" w:rsidRPr="002E7527">
        <w:rPr>
          <w:rFonts w:ascii="Times New Roman" w:hAnsi="Times New Roman" w:cs="Times New Roman"/>
        </w:rPr>
        <w:t xml:space="preserve"> (</w:t>
      </w:r>
      <w:r w:rsidRPr="002E7527">
        <w:rPr>
          <w:rFonts w:ascii="Times New Roman" w:hAnsi="Times New Roman" w:cs="Times New Roman"/>
        </w:rPr>
        <w:t>1</w:t>
      </w:r>
      <w:r w:rsidR="00585A01" w:rsidRPr="002E7527">
        <w:rPr>
          <w:rFonts w:ascii="Times New Roman" w:hAnsi="Times New Roman" w:cs="Times New Roman"/>
        </w:rPr>
        <w:t>)</w:t>
      </w:r>
      <w:r w:rsidRPr="002E7527">
        <w:rPr>
          <w:rFonts w:ascii="Times New Roman" w:hAnsi="Times New Roman" w:cs="Times New Roman"/>
        </w:rPr>
        <w:t>, 2014, pp. 1-7.</w:t>
      </w:r>
    </w:p>
  </w:footnote>
  <w:footnote w:id="17">
    <w:p w14:paraId="153E0014" w14:textId="22C9A6F1" w:rsidR="00F10E4E" w:rsidRPr="002E7527" w:rsidRDefault="00F10E4E"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Kosicki P. H., </w:t>
      </w:r>
      <w:r w:rsidRPr="002E7527">
        <w:rPr>
          <w:rFonts w:ascii="Times New Roman" w:hAnsi="Times New Roman" w:cs="Times New Roman"/>
          <w:i/>
          <w:iCs/>
        </w:rPr>
        <w:t>Book Review. Rewolucja Solidarności, 1980–1981 [The Solidarity revolution, 1980–1981] by Andrzej Friszke</w:t>
      </w:r>
      <w:r w:rsidRPr="002E7527">
        <w:rPr>
          <w:rFonts w:ascii="Times New Roman" w:hAnsi="Times New Roman" w:cs="Times New Roman"/>
        </w:rPr>
        <w:t>, in «The Polish Review», 60</w:t>
      </w:r>
      <w:r w:rsidR="00585A01" w:rsidRPr="002E7527">
        <w:rPr>
          <w:rFonts w:ascii="Times New Roman" w:hAnsi="Times New Roman" w:cs="Times New Roman"/>
        </w:rPr>
        <w:t xml:space="preserve"> (</w:t>
      </w:r>
      <w:r w:rsidRPr="002E7527">
        <w:rPr>
          <w:rFonts w:ascii="Times New Roman" w:hAnsi="Times New Roman" w:cs="Times New Roman"/>
        </w:rPr>
        <w:t>4</w:t>
      </w:r>
      <w:r w:rsidR="00585A01" w:rsidRPr="002E7527">
        <w:rPr>
          <w:rFonts w:ascii="Times New Roman" w:hAnsi="Times New Roman" w:cs="Times New Roman"/>
        </w:rPr>
        <w:t>)</w:t>
      </w:r>
      <w:r w:rsidRPr="002E7527">
        <w:rPr>
          <w:rFonts w:ascii="Times New Roman" w:hAnsi="Times New Roman" w:cs="Times New Roman"/>
        </w:rPr>
        <w:t>, 2015, pp. 99-102.</w:t>
      </w:r>
    </w:p>
    <w:p w14:paraId="20F9E9D8" w14:textId="0695C135" w:rsidR="00F10E4E" w:rsidRPr="002E7527" w:rsidRDefault="00F10E4E" w:rsidP="00467994">
      <w:pPr>
        <w:pStyle w:val="Testonotaapidipagina"/>
        <w:keepNext/>
        <w:keepLines/>
        <w:rPr>
          <w:rFonts w:ascii="Times New Roman" w:hAnsi="Times New Roman" w:cs="Times New Roman"/>
          <w:lang w:val="en-US"/>
        </w:rPr>
      </w:pPr>
    </w:p>
  </w:footnote>
  <w:footnote w:id="18">
    <w:p w14:paraId="048D230D" w14:textId="3B954E5B" w:rsidR="00F25387" w:rsidRPr="002E7527" w:rsidRDefault="00F25387" w:rsidP="00467994">
      <w:pPr>
        <w:pStyle w:val="Testonotaapidipagina"/>
        <w:keepNext/>
        <w:keepLines/>
        <w:rPr>
          <w:rFonts w:ascii="Times New Roman" w:hAnsi="Times New Roman" w:cs="Times New Roman"/>
          <w:lang w:val="en-US"/>
        </w:rPr>
      </w:pPr>
      <w:r w:rsidRPr="002E7527">
        <w:rPr>
          <w:rStyle w:val="Rimandonotaapidipagina"/>
          <w:rFonts w:ascii="Times New Roman" w:hAnsi="Times New Roman" w:cs="Times New Roman"/>
        </w:rPr>
        <w:footnoteRef/>
      </w:r>
      <w:r w:rsidRPr="002E7527">
        <w:rPr>
          <w:rFonts w:ascii="Times New Roman" w:hAnsi="Times New Roman" w:cs="Times New Roman"/>
          <w:lang w:val="en-US"/>
        </w:rPr>
        <w:t xml:space="preserve"> Lorenzini S., Tulli U., eds., </w:t>
      </w:r>
      <w:r w:rsidRPr="002E7527">
        <w:rPr>
          <w:rFonts w:ascii="Times New Roman" w:hAnsi="Times New Roman" w:cs="Times New Roman"/>
          <w:i/>
          <w:iCs/>
          <w:lang w:val="en-US"/>
        </w:rPr>
        <w:t>The Human Rights Breakthrough of the 1970s: The European Community and International Relations</w:t>
      </w:r>
      <w:r w:rsidRPr="002E7527">
        <w:rPr>
          <w:rFonts w:ascii="Times New Roman" w:hAnsi="Times New Roman" w:cs="Times New Roman"/>
          <w:lang w:val="en-US"/>
        </w:rPr>
        <w:t xml:space="preserve">, Bloomsbury Publishing, London, 2022; Snyder S. B., </w:t>
      </w:r>
      <w:r w:rsidRPr="002E7527">
        <w:rPr>
          <w:rFonts w:ascii="Times New Roman" w:hAnsi="Times New Roman" w:cs="Times New Roman"/>
          <w:i/>
          <w:iCs/>
          <w:lang w:val="en-US"/>
        </w:rPr>
        <w:t>Human Rights Activism and the End of the Cold War A Transnational History of the Helsinki Network,</w:t>
      </w:r>
      <w:r w:rsidRPr="002E7527">
        <w:rPr>
          <w:rFonts w:ascii="Times New Roman" w:hAnsi="Times New Roman" w:cs="Times New Roman"/>
          <w:lang w:val="en-US"/>
        </w:rPr>
        <w:t xml:space="preserve"> Cambridge University Press, New York, 2011; Thomas D. C., </w:t>
      </w:r>
      <w:r w:rsidRPr="002E7527">
        <w:rPr>
          <w:rFonts w:ascii="Times New Roman" w:hAnsi="Times New Roman" w:cs="Times New Roman"/>
          <w:i/>
          <w:iCs/>
          <w:lang w:val="en-US"/>
        </w:rPr>
        <w:t>The Helsinki Effect: International Norms, Human Rights, and the Demise of Communism</w:t>
      </w:r>
      <w:r w:rsidRPr="002E7527">
        <w:rPr>
          <w:rFonts w:ascii="Times New Roman" w:hAnsi="Times New Roman" w:cs="Times New Roman"/>
          <w:lang w:val="en-US"/>
        </w:rPr>
        <w:t xml:space="preserve">, Princeton University Press, Princeton, 2001. Peterson C. P., </w:t>
      </w:r>
      <w:r w:rsidRPr="002E7527">
        <w:rPr>
          <w:rFonts w:ascii="Times New Roman" w:hAnsi="Times New Roman" w:cs="Times New Roman"/>
          <w:i/>
          <w:iCs/>
          <w:lang w:val="en-US"/>
        </w:rPr>
        <w:t xml:space="preserve">Globalizing Human Rights. Private citizens, the Soviet Union, and the West, </w:t>
      </w:r>
      <w:r w:rsidRPr="002E7527">
        <w:rPr>
          <w:rFonts w:ascii="Times New Roman" w:hAnsi="Times New Roman" w:cs="Times New Roman"/>
          <w:lang w:val="en-US"/>
        </w:rPr>
        <w:t>Routledge, New York, 2012, p. 97.</w:t>
      </w:r>
    </w:p>
  </w:footnote>
  <w:footnote w:id="19">
    <w:p w14:paraId="6969B3F1" w14:textId="62D89710" w:rsidR="00B463FD" w:rsidRPr="002E7527" w:rsidRDefault="00B463FD"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w:t>
      </w:r>
      <w:proofErr w:type="spellStart"/>
      <w:r w:rsidRPr="002E7527">
        <w:rPr>
          <w:rFonts w:ascii="Times New Roman" w:hAnsi="Times New Roman" w:cs="Times New Roman"/>
        </w:rPr>
        <w:t>Iryie</w:t>
      </w:r>
      <w:proofErr w:type="spellEnd"/>
      <w:r w:rsidRPr="002E7527">
        <w:rPr>
          <w:rFonts w:ascii="Times New Roman" w:hAnsi="Times New Roman" w:cs="Times New Roman"/>
        </w:rPr>
        <w:t xml:space="preserve"> A., Saunier P., </w:t>
      </w:r>
      <w:r w:rsidRPr="002E7527">
        <w:rPr>
          <w:rFonts w:ascii="Times New Roman" w:hAnsi="Times New Roman" w:cs="Times New Roman"/>
          <w:i/>
          <w:iCs/>
        </w:rPr>
        <w:t>The Palgrave Dictionary of Transnational History From the mid-19th century to the present day,</w:t>
      </w:r>
      <w:r w:rsidRPr="002E7527">
        <w:rPr>
          <w:rFonts w:ascii="Times New Roman" w:hAnsi="Times New Roman" w:cs="Times New Roman"/>
        </w:rPr>
        <w:t xml:space="preserve"> Palgrave Macmillan, London, 2009, </w:t>
      </w:r>
      <w:proofErr w:type="spellStart"/>
      <w:r w:rsidRPr="002E7527">
        <w:rPr>
          <w:rFonts w:ascii="Times New Roman" w:hAnsi="Times New Roman" w:cs="Times New Roman"/>
        </w:rPr>
        <w:t>p.xviii</w:t>
      </w:r>
      <w:proofErr w:type="spellEnd"/>
      <w:r w:rsidRPr="002E7527">
        <w:rPr>
          <w:rFonts w:ascii="Times New Roman" w:hAnsi="Times New Roman" w:cs="Times New Roman"/>
        </w:rPr>
        <w:t xml:space="preserve">. </w:t>
      </w:r>
    </w:p>
  </w:footnote>
  <w:footnote w:id="20">
    <w:p w14:paraId="4FF2DB59" w14:textId="22797E2B" w:rsidR="00B463FD" w:rsidRPr="002E7527" w:rsidRDefault="00B463FD" w:rsidP="00467994">
      <w:pPr>
        <w:pStyle w:val="Testonotaapidipagina"/>
        <w:keepNext/>
        <w:keepLines/>
        <w:rPr>
          <w:rFonts w:ascii="Times New Roman" w:hAnsi="Times New Roman" w:cs="Times New Roman"/>
        </w:rPr>
      </w:pPr>
      <w:r w:rsidRPr="002E7527">
        <w:rPr>
          <w:rStyle w:val="Rimandonotaapidipagina"/>
          <w:rFonts w:ascii="Times New Roman" w:hAnsi="Times New Roman" w:cs="Times New Roman"/>
        </w:rPr>
        <w:footnoteRef/>
      </w:r>
      <w:r w:rsidRPr="002E7527">
        <w:rPr>
          <w:rFonts w:ascii="Times New Roman" w:hAnsi="Times New Roman" w:cs="Times New Roman"/>
        </w:rPr>
        <w:t xml:space="preserve"> Snyder S. B., </w:t>
      </w:r>
      <w:r w:rsidRPr="002E7527">
        <w:rPr>
          <w:rFonts w:ascii="Times New Roman" w:hAnsi="Times New Roman" w:cs="Times New Roman"/>
          <w:i/>
          <w:iCs/>
        </w:rPr>
        <w:t>Bringing the Transnational In</w:t>
      </w:r>
      <w:r w:rsidR="009119FA" w:rsidRPr="002E7527">
        <w:rPr>
          <w:rFonts w:ascii="Times New Roman" w:hAnsi="Times New Roman" w:cs="Times New Roman"/>
        </w:rPr>
        <w:t>, cit.</w:t>
      </w:r>
    </w:p>
  </w:footnote>
  <w:footnote w:id="21">
    <w:p w14:paraId="5E2EAA0A" w14:textId="30CC3E4F" w:rsidR="00B463FD" w:rsidRPr="002E7527" w:rsidRDefault="00B463FD"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w:t>
      </w:r>
      <w:r w:rsidR="009119FA" w:rsidRPr="002E7527">
        <w:rPr>
          <w:rFonts w:ascii="Times New Roman" w:hAnsi="Times New Roman" w:cs="Times New Roman"/>
          <w:lang w:val="pl-PL"/>
        </w:rPr>
        <w:t>Ibidem.,</w:t>
      </w:r>
      <w:r w:rsidRPr="002E7527">
        <w:rPr>
          <w:rFonts w:ascii="Times New Roman" w:hAnsi="Times New Roman" w:cs="Times New Roman"/>
          <w:lang w:val="pl-PL"/>
        </w:rPr>
        <w:t xml:space="preserve"> p. 100</w:t>
      </w:r>
      <w:r w:rsidR="009119FA" w:rsidRPr="002E7527">
        <w:rPr>
          <w:rFonts w:ascii="Times New Roman" w:hAnsi="Times New Roman" w:cs="Times New Roman"/>
          <w:lang w:val="pl-PL"/>
        </w:rPr>
        <w:t>.</w:t>
      </w:r>
    </w:p>
  </w:footnote>
  <w:footnote w:id="22">
    <w:p w14:paraId="4A920F22" w14:textId="77777777" w:rsidR="000E7E31" w:rsidRPr="002E7527" w:rsidRDefault="000E7E31" w:rsidP="00467994">
      <w:pPr>
        <w:pStyle w:val="Testonotaapidipagina"/>
        <w:keepNext/>
        <w:keepLines/>
        <w:rPr>
          <w:rFonts w:ascii="Times New Roman" w:hAnsi="Times New Roman" w:cs="Times New Roman"/>
          <w:lang w:val="pl-PL"/>
        </w:rPr>
      </w:pPr>
      <w:r w:rsidRPr="002E7527">
        <w:rPr>
          <w:rStyle w:val="Rimandonotaapidipagina"/>
          <w:rFonts w:ascii="Times New Roman" w:hAnsi="Times New Roman" w:cs="Times New Roman"/>
        </w:rPr>
        <w:footnoteRef/>
      </w:r>
      <w:r w:rsidRPr="002E7527">
        <w:rPr>
          <w:rFonts w:ascii="Times New Roman" w:hAnsi="Times New Roman" w:cs="Times New Roman"/>
          <w:lang w:val="pl-PL"/>
        </w:rPr>
        <w:t xml:space="preserve"> </w:t>
      </w:r>
      <w:proofErr w:type="spellStart"/>
      <w:r w:rsidRPr="002E7527">
        <w:rPr>
          <w:rFonts w:ascii="Times New Roman" w:hAnsi="Times New Roman" w:cs="Times New Roman"/>
          <w:lang w:val="pl-PL"/>
        </w:rPr>
        <w:t>Swider</w:t>
      </w:r>
      <w:proofErr w:type="spellEnd"/>
      <w:r w:rsidRPr="002E7527">
        <w:rPr>
          <w:rFonts w:ascii="Times New Roman" w:hAnsi="Times New Roman" w:cs="Times New Roman"/>
          <w:lang w:val="pl-PL"/>
        </w:rPr>
        <w:t xml:space="preserve"> M., </w:t>
      </w:r>
      <w:r w:rsidRPr="002E7527">
        <w:rPr>
          <w:rFonts w:ascii="Times New Roman" w:hAnsi="Times New Roman" w:cs="Times New Roman"/>
          <w:i/>
          <w:iCs/>
          <w:lang w:val="pl-PL"/>
        </w:rPr>
        <w:t>Solidarność związkowa</w:t>
      </w:r>
      <w:r w:rsidRPr="002E7527">
        <w:rPr>
          <w:rFonts w:ascii="Times New Roman" w:hAnsi="Times New Roman" w:cs="Times New Roman"/>
          <w:lang w:val="pl-PL"/>
        </w:rPr>
        <w:t>, cit., p.181.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26285"/>
    <w:multiLevelType w:val="hybridMultilevel"/>
    <w:tmpl w:val="477CC500"/>
    <w:lvl w:ilvl="0" w:tplc="04100011">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0E71A27"/>
    <w:multiLevelType w:val="hybridMultilevel"/>
    <w:tmpl w:val="2362C264"/>
    <w:lvl w:ilvl="0" w:tplc="BB44C0CE">
      <w:start w:val="3"/>
      <w:numFmt w:val="bullet"/>
      <w:lvlText w:val="-"/>
      <w:lvlJc w:val="left"/>
      <w:pPr>
        <w:ind w:left="1080" w:hanging="360"/>
      </w:pPr>
      <w:rPr>
        <w:rFonts w:ascii="Times New Roman" w:eastAsia="Times New Roman" w:hAnsi="Times New Roman" w:cs="Times New Roman" w:hint="default"/>
        <w: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11D302E2"/>
    <w:multiLevelType w:val="hybridMultilevel"/>
    <w:tmpl w:val="BBD8F840"/>
    <w:lvl w:ilvl="0" w:tplc="F6A6E7A2">
      <w:start w:val="1"/>
      <w:numFmt w:val="lowerRoman"/>
      <w:lvlText w:val="%1."/>
      <w:lvlJc w:val="left"/>
      <w:pPr>
        <w:ind w:left="1003" w:hanging="720"/>
      </w:pPr>
      <w:rPr>
        <w:rFonts w:hint="default"/>
      </w:rPr>
    </w:lvl>
    <w:lvl w:ilvl="1" w:tplc="04100019" w:tentative="1">
      <w:start w:val="1"/>
      <w:numFmt w:val="lowerLetter"/>
      <w:lvlText w:val="%2."/>
      <w:lvlJc w:val="left"/>
      <w:pPr>
        <w:ind w:left="1363" w:hanging="360"/>
      </w:pPr>
    </w:lvl>
    <w:lvl w:ilvl="2" w:tplc="0410001B" w:tentative="1">
      <w:start w:val="1"/>
      <w:numFmt w:val="lowerRoman"/>
      <w:lvlText w:val="%3."/>
      <w:lvlJc w:val="right"/>
      <w:pPr>
        <w:ind w:left="2083" w:hanging="180"/>
      </w:pPr>
    </w:lvl>
    <w:lvl w:ilvl="3" w:tplc="0410000F" w:tentative="1">
      <w:start w:val="1"/>
      <w:numFmt w:val="decimal"/>
      <w:lvlText w:val="%4."/>
      <w:lvlJc w:val="left"/>
      <w:pPr>
        <w:ind w:left="2803" w:hanging="360"/>
      </w:pPr>
    </w:lvl>
    <w:lvl w:ilvl="4" w:tplc="04100019" w:tentative="1">
      <w:start w:val="1"/>
      <w:numFmt w:val="lowerLetter"/>
      <w:lvlText w:val="%5."/>
      <w:lvlJc w:val="left"/>
      <w:pPr>
        <w:ind w:left="3523" w:hanging="360"/>
      </w:pPr>
    </w:lvl>
    <w:lvl w:ilvl="5" w:tplc="0410001B" w:tentative="1">
      <w:start w:val="1"/>
      <w:numFmt w:val="lowerRoman"/>
      <w:lvlText w:val="%6."/>
      <w:lvlJc w:val="right"/>
      <w:pPr>
        <w:ind w:left="4243" w:hanging="180"/>
      </w:pPr>
    </w:lvl>
    <w:lvl w:ilvl="6" w:tplc="0410000F" w:tentative="1">
      <w:start w:val="1"/>
      <w:numFmt w:val="decimal"/>
      <w:lvlText w:val="%7."/>
      <w:lvlJc w:val="left"/>
      <w:pPr>
        <w:ind w:left="4963" w:hanging="360"/>
      </w:pPr>
    </w:lvl>
    <w:lvl w:ilvl="7" w:tplc="04100019" w:tentative="1">
      <w:start w:val="1"/>
      <w:numFmt w:val="lowerLetter"/>
      <w:lvlText w:val="%8."/>
      <w:lvlJc w:val="left"/>
      <w:pPr>
        <w:ind w:left="5683" w:hanging="360"/>
      </w:pPr>
    </w:lvl>
    <w:lvl w:ilvl="8" w:tplc="0410001B" w:tentative="1">
      <w:start w:val="1"/>
      <w:numFmt w:val="lowerRoman"/>
      <w:lvlText w:val="%9."/>
      <w:lvlJc w:val="right"/>
      <w:pPr>
        <w:ind w:left="6403" w:hanging="180"/>
      </w:pPr>
    </w:lvl>
  </w:abstractNum>
  <w:abstractNum w:abstractNumId="3" w15:restartNumberingAfterBreak="0">
    <w:nsid w:val="144E3929"/>
    <w:multiLevelType w:val="hybridMultilevel"/>
    <w:tmpl w:val="5F92EAE8"/>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356F2FD8"/>
    <w:multiLevelType w:val="hybridMultilevel"/>
    <w:tmpl w:val="B6B24DB8"/>
    <w:lvl w:ilvl="0" w:tplc="0CA8D0D2">
      <w:start w:val="3"/>
      <w:numFmt w:val="bullet"/>
      <w:lvlText w:val="-"/>
      <w:lvlJc w:val="left"/>
      <w:pPr>
        <w:ind w:left="1069" w:hanging="360"/>
      </w:pPr>
      <w:rPr>
        <w:rFonts w:ascii="Times New Roman" w:eastAsia="Times New Roman" w:hAnsi="Times New Roman" w:cs="Times New Roman"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5" w15:restartNumberingAfterBreak="0">
    <w:nsid w:val="37DB18E2"/>
    <w:multiLevelType w:val="hybridMultilevel"/>
    <w:tmpl w:val="2A7071D6"/>
    <w:lvl w:ilvl="0" w:tplc="02BA1968">
      <w:start w:val="1"/>
      <w:numFmt w:val="lowerRoman"/>
      <w:lvlText w:val="%1)"/>
      <w:lvlJc w:val="left"/>
      <w:pPr>
        <w:ind w:left="1569" w:hanging="720"/>
      </w:pPr>
      <w:rPr>
        <w:rFonts w:hint="default"/>
      </w:rPr>
    </w:lvl>
    <w:lvl w:ilvl="1" w:tplc="04100019" w:tentative="1">
      <w:start w:val="1"/>
      <w:numFmt w:val="lowerLetter"/>
      <w:lvlText w:val="%2."/>
      <w:lvlJc w:val="left"/>
      <w:pPr>
        <w:ind w:left="1929" w:hanging="360"/>
      </w:pPr>
    </w:lvl>
    <w:lvl w:ilvl="2" w:tplc="0410001B" w:tentative="1">
      <w:start w:val="1"/>
      <w:numFmt w:val="lowerRoman"/>
      <w:lvlText w:val="%3."/>
      <w:lvlJc w:val="right"/>
      <w:pPr>
        <w:ind w:left="2649" w:hanging="180"/>
      </w:pPr>
    </w:lvl>
    <w:lvl w:ilvl="3" w:tplc="0410000F" w:tentative="1">
      <w:start w:val="1"/>
      <w:numFmt w:val="decimal"/>
      <w:lvlText w:val="%4."/>
      <w:lvlJc w:val="left"/>
      <w:pPr>
        <w:ind w:left="3369" w:hanging="360"/>
      </w:pPr>
    </w:lvl>
    <w:lvl w:ilvl="4" w:tplc="04100019" w:tentative="1">
      <w:start w:val="1"/>
      <w:numFmt w:val="lowerLetter"/>
      <w:lvlText w:val="%5."/>
      <w:lvlJc w:val="left"/>
      <w:pPr>
        <w:ind w:left="4089" w:hanging="360"/>
      </w:pPr>
    </w:lvl>
    <w:lvl w:ilvl="5" w:tplc="0410001B" w:tentative="1">
      <w:start w:val="1"/>
      <w:numFmt w:val="lowerRoman"/>
      <w:lvlText w:val="%6."/>
      <w:lvlJc w:val="right"/>
      <w:pPr>
        <w:ind w:left="4809" w:hanging="180"/>
      </w:pPr>
    </w:lvl>
    <w:lvl w:ilvl="6" w:tplc="0410000F" w:tentative="1">
      <w:start w:val="1"/>
      <w:numFmt w:val="decimal"/>
      <w:lvlText w:val="%7."/>
      <w:lvlJc w:val="left"/>
      <w:pPr>
        <w:ind w:left="5529" w:hanging="360"/>
      </w:pPr>
    </w:lvl>
    <w:lvl w:ilvl="7" w:tplc="04100019" w:tentative="1">
      <w:start w:val="1"/>
      <w:numFmt w:val="lowerLetter"/>
      <w:lvlText w:val="%8."/>
      <w:lvlJc w:val="left"/>
      <w:pPr>
        <w:ind w:left="6249" w:hanging="360"/>
      </w:pPr>
    </w:lvl>
    <w:lvl w:ilvl="8" w:tplc="0410001B" w:tentative="1">
      <w:start w:val="1"/>
      <w:numFmt w:val="lowerRoman"/>
      <w:lvlText w:val="%9."/>
      <w:lvlJc w:val="right"/>
      <w:pPr>
        <w:ind w:left="6969" w:hanging="180"/>
      </w:pPr>
    </w:lvl>
  </w:abstractNum>
  <w:abstractNum w:abstractNumId="6" w15:restartNumberingAfterBreak="0">
    <w:nsid w:val="3C9A2FFB"/>
    <w:multiLevelType w:val="hybridMultilevel"/>
    <w:tmpl w:val="6AF6DE58"/>
    <w:lvl w:ilvl="0" w:tplc="9A7AC432">
      <w:start w:val="1"/>
      <w:numFmt w:val="lowerRoman"/>
      <w:lvlText w:val="(%1)"/>
      <w:lvlJc w:val="left"/>
      <w:pPr>
        <w:ind w:left="1569" w:hanging="720"/>
      </w:pPr>
      <w:rPr>
        <w:rFonts w:hint="default"/>
      </w:rPr>
    </w:lvl>
    <w:lvl w:ilvl="1" w:tplc="04100019" w:tentative="1">
      <w:start w:val="1"/>
      <w:numFmt w:val="lowerLetter"/>
      <w:lvlText w:val="%2."/>
      <w:lvlJc w:val="left"/>
      <w:pPr>
        <w:ind w:left="1929" w:hanging="360"/>
      </w:pPr>
    </w:lvl>
    <w:lvl w:ilvl="2" w:tplc="0410001B" w:tentative="1">
      <w:start w:val="1"/>
      <w:numFmt w:val="lowerRoman"/>
      <w:lvlText w:val="%3."/>
      <w:lvlJc w:val="right"/>
      <w:pPr>
        <w:ind w:left="2649" w:hanging="180"/>
      </w:pPr>
    </w:lvl>
    <w:lvl w:ilvl="3" w:tplc="0410000F" w:tentative="1">
      <w:start w:val="1"/>
      <w:numFmt w:val="decimal"/>
      <w:lvlText w:val="%4."/>
      <w:lvlJc w:val="left"/>
      <w:pPr>
        <w:ind w:left="3369" w:hanging="360"/>
      </w:pPr>
    </w:lvl>
    <w:lvl w:ilvl="4" w:tplc="04100019" w:tentative="1">
      <w:start w:val="1"/>
      <w:numFmt w:val="lowerLetter"/>
      <w:lvlText w:val="%5."/>
      <w:lvlJc w:val="left"/>
      <w:pPr>
        <w:ind w:left="4089" w:hanging="360"/>
      </w:pPr>
    </w:lvl>
    <w:lvl w:ilvl="5" w:tplc="0410001B" w:tentative="1">
      <w:start w:val="1"/>
      <w:numFmt w:val="lowerRoman"/>
      <w:lvlText w:val="%6."/>
      <w:lvlJc w:val="right"/>
      <w:pPr>
        <w:ind w:left="4809" w:hanging="180"/>
      </w:pPr>
    </w:lvl>
    <w:lvl w:ilvl="6" w:tplc="0410000F" w:tentative="1">
      <w:start w:val="1"/>
      <w:numFmt w:val="decimal"/>
      <w:lvlText w:val="%7."/>
      <w:lvlJc w:val="left"/>
      <w:pPr>
        <w:ind w:left="5529" w:hanging="360"/>
      </w:pPr>
    </w:lvl>
    <w:lvl w:ilvl="7" w:tplc="04100019" w:tentative="1">
      <w:start w:val="1"/>
      <w:numFmt w:val="lowerLetter"/>
      <w:lvlText w:val="%8."/>
      <w:lvlJc w:val="left"/>
      <w:pPr>
        <w:ind w:left="6249" w:hanging="360"/>
      </w:pPr>
    </w:lvl>
    <w:lvl w:ilvl="8" w:tplc="0410001B" w:tentative="1">
      <w:start w:val="1"/>
      <w:numFmt w:val="lowerRoman"/>
      <w:lvlText w:val="%9."/>
      <w:lvlJc w:val="right"/>
      <w:pPr>
        <w:ind w:left="6969" w:hanging="180"/>
      </w:pPr>
    </w:lvl>
  </w:abstractNum>
  <w:abstractNum w:abstractNumId="7" w15:restartNumberingAfterBreak="0">
    <w:nsid w:val="42143969"/>
    <w:multiLevelType w:val="hybridMultilevel"/>
    <w:tmpl w:val="CEEE247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76F3AD6"/>
    <w:multiLevelType w:val="multilevel"/>
    <w:tmpl w:val="C83C210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B12289D"/>
    <w:multiLevelType w:val="hybridMultilevel"/>
    <w:tmpl w:val="A59AA8E0"/>
    <w:lvl w:ilvl="0" w:tplc="202EF084">
      <w:start w:val="1"/>
      <w:numFmt w:val="lowerLetter"/>
      <w:lvlText w:val="%1."/>
      <w:lvlJc w:val="left"/>
      <w:pPr>
        <w:ind w:left="2061" w:hanging="360"/>
      </w:pPr>
      <w:rPr>
        <w:rFonts w:hint="default"/>
      </w:rPr>
    </w:lvl>
    <w:lvl w:ilvl="1" w:tplc="04100019" w:tentative="1">
      <w:start w:val="1"/>
      <w:numFmt w:val="lowerLetter"/>
      <w:lvlText w:val="%2."/>
      <w:lvlJc w:val="left"/>
      <w:pPr>
        <w:ind w:left="2781" w:hanging="360"/>
      </w:pPr>
    </w:lvl>
    <w:lvl w:ilvl="2" w:tplc="0410001B" w:tentative="1">
      <w:start w:val="1"/>
      <w:numFmt w:val="lowerRoman"/>
      <w:lvlText w:val="%3."/>
      <w:lvlJc w:val="right"/>
      <w:pPr>
        <w:ind w:left="3501" w:hanging="180"/>
      </w:pPr>
    </w:lvl>
    <w:lvl w:ilvl="3" w:tplc="0410000F" w:tentative="1">
      <w:start w:val="1"/>
      <w:numFmt w:val="decimal"/>
      <w:lvlText w:val="%4."/>
      <w:lvlJc w:val="left"/>
      <w:pPr>
        <w:ind w:left="4221" w:hanging="360"/>
      </w:pPr>
    </w:lvl>
    <w:lvl w:ilvl="4" w:tplc="04100019" w:tentative="1">
      <w:start w:val="1"/>
      <w:numFmt w:val="lowerLetter"/>
      <w:lvlText w:val="%5."/>
      <w:lvlJc w:val="left"/>
      <w:pPr>
        <w:ind w:left="4941" w:hanging="360"/>
      </w:pPr>
    </w:lvl>
    <w:lvl w:ilvl="5" w:tplc="0410001B" w:tentative="1">
      <w:start w:val="1"/>
      <w:numFmt w:val="lowerRoman"/>
      <w:lvlText w:val="%6."/>
      <w:lvlJc w:val="right"/>
      <w:pPr>
        <w:ind w:left="5661" w:hanging="180"/>
      </w:pPr>
    </w:lvl>
    <w:lvl w:ilvl="6" w:tplc="0410000F" w:tentative="1">
      <w:start w:val="1"/>
      <w:numFmt w:val="decimal"/>
      <w:lvlText w:val="%7."/>
      <w:lvlJc w:val="left"/>
      <w:pPr>
        <w:ind w:left="6381" w:hanging="360"/>
      </w:pPr>
    </w:lvl>
    <w:lvl w:ilvl="7" w:tplc="04100019" w:tentative="1">
      <w:start w:val="1"/>
      <w:numFmt w:val="lowerLetter"/>
      <w:lvlText w:val="%8."/>
      <w:lvlJc w:val="left"/>
      <w:pPr>
        <w:ind w:left="7101" w:hanging="360"/>
      </w:pPr>
    </w:lvl>
    <w:lvl w:ilvl="8" w:tplc="0410001B" w:tentative="1">
      <w:start w:val="1"/>
      <w:numFmt w:val="lowerRoman"/>
      <w:lvlText w:val="%9."/>
      <w:lvlJc w:val="right"/>
      <w:pPr>
        <w:ind w:left="7821" w:hanging="180"/>
      </w:pPr>
    </w:lvl>
  </w:abstractNum>
  <w:abstractNum w:abstractNumId="10" w15:restartNumberingAfterBreak="0">
    <w:nsid w:val="4D1154CC"/>
    <w:multiLevelType w:val="hybridMultilevel"/>
    <w:tmpl w:val="572ED05E"/>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5D46E92"/>
    <w:multiLevelType w:val="hybridMultilevel"/>
    <w:tmpl w:val="4894DF10"/>
    <w:lvl w:ilvl="0" w:tplc="04100011">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B936B18"/>
    <w:multiLevelType w:val="hybridMultilevel"/>
    <w:tmpl w:val="5BB24FA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D7D4B59"/>
    <w:multiLevelType w:val="hybridMultilevel"/>
    <w:tmpl w:val="AE1AAC2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D1D42B5"/>
    <w:multiLevelType w:val="hybridMultilevel"/>
    <w:tmpl w:val="8EACE160"/>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4745A94"/>
    <w:multiLevelType w:val="hybridMultilevel"/>
    <w:tmpl w:val="BE58ABEA"/>
    <w:lvl w:ilvl="0" w:tplc="E4C6FF9C">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15:restartNumberingAfterBreak="0">
    <w:nsid w:val="75FD4731"/>
    <w:multiLevelType w:val="multilevel"/>
    <w:tmpl w:val="E4764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BB7DFF"/>
    <w:multiLevelType w:val="hybridMultilevel"/>
    <w:tmpl w:val="179AAE14"/>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160996197">
    <w:abstractNumId w:val="15"/>
  </w:num>
  <w:num w:numId="2" w16cid:durableId="123012396">
    <w:abstractNumId w:val="10"/>
  </w:num>
  <w:num w:numId="3" w16cid:durableId="1814172127">
    <w:abstractNumId w:val="0"/>
  </w:num>
  <w:num w:numId="4" w16cid:durableId="358625385">
    <w:abstractNumId w:val="8"/>
  </w:num>
  <w:num w:numId="5" w16cid:durableId="1334646760">
    <w:abstractNumId w:val="16"/>
  </w:num>
  <w:num w:numId="6" w16cid:durableId="492451047">
    <w:abstractNumId w:val="1"/>
  </w:num>
  <w:num w:numId="7" w16cid:durableId="655190713">
    <w:abstractNumId w:val="4"/>
  </w:num>
  <w:num w:numId="8" w16cid:durableId="1776747514">
    <w:abstractNumId w:val="17"/>
  </w:num>
  <w:num w:numId="9" w16cid:durableId="1869028495">
    <w:abstractNumId w:val="11"/>
  </w:num>
  <w:num w:numId="10" w16cid:durableId="174809354">
    <w:abstractNumId w:val="13"/>
  </w:num>
  <w:num w:numId="11" w16cid:durableId="2013990448">
    <w:abstractNumId w:val="12"/>
  </w:num>
  <w:num w:numId="12" w16cid:durableId="1836872568">
    <w:abstractNumId w:val="7"/>
  </w:num>
  <w:num w:numId="13" w16cid:durableId="563881427">
    <w:abstractNumId w:val="6"/>
  </w:num>
  <w:num w:numId="14" w16cid:durableId="2145342499">
    <w:abstractNumId w:val="5"/>
  </w:num>
  <w:num w:numId="15" w16cid:durableId="692532246">
    <w:abstractNumId w:val="2"/>
  </w:num>
  <w:num w:numId="16" w16cid:durableId="1089733725">
    <w:abstractNumId w:val="9"/>
  </w:num>
  <w:num w:numId="17" w16cid:durableId="1060129768">
    <w:abstractNumId w:val="14"/>
  </w:num>
  <w:num w:numId="18" w16cid:durableId="7943280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C4"/>
    <w:rsid w:val="000110CB"/>
    <w:rsid w:val="00033371"/>
    <w:rsid w:val="000419C9"/>
    <w:rsid w:val="00070629"/>
    <w:rsid w:val="000730FE"/>
    <w:rsid w:val="00094669"/>
    <w:rsid w:val="000A1E1F"/>
    <w:rsid w:val="000B77D6"/>
    <w:rsid w:val="000D35EF"/>
    <w:rsid w:val="000D3D42"/>
    <w:rsid w:val="000D3FC5"/>
    <w:rsid w:val="000E7E31"/>
    <w:rsid w:val="00103FD8"/>
    <w:rsid w:val="00107F8D"/>
    <w:rsid w:val="00113E0D"/>
    <w:rsid w:val="00124DC6"/>
    <w:rsid w:val="00131CA9"/>
    <w:rsid w:val="00140110"/>
    <w:rsid w:val="001401B2"/>
    <w:rsid w:val="001659C8"/>
    <w:rsid w:val="00186EEB"/>
    <w:rsid w:val="001876A5"/>
    <w:rsid w:val="00190A10"/>
    <w:rsid w:val="001937E2"/>
    <w:rsid w:val="00197A47"/>
    <w:rsid w:val="001A1A50"/>
    <w:rsid w:val="001A4D54"/>
    <w:rsid w:val="001D270B"/>
    <w:rsid w:val="001E7A05"/>
    <w:rsid w:val="00201490"/>
    <w:rsid w:val="00211EAD"/>
    <w:rsid w:val="0025100E"/>
    <w:rsid w:val="00261843"/>
    <w:rsid w:val="00276C09"/>
    <w:rsid w:val="00287735"/>
    <w:rsid w:val="0029402C"/>
    <w:rsid w:val="002A4A5A"/>
    <w:rsid w:val="002E37ED"/>
    <w:rsid w:val="002E7527"/>
    <w:rsid w:val="00330BFF"/>
    <w:rsid w:val="003366C7"/>
    <w:rsid w:val="0034042A"/>
    <w:rsid w:val="00343893"/>
    <w:rsid w:val="00355056"/>
    <w:rsid w:val="003627F2"/>
    <w:rsid w:val="00393D21"/>
    <w:rsid w:val="003A5F18"/>
    <w:rsid w:val="003D13DE"/>
    <w:rsid w:val="003D2CB0"/>
    <w:rsid w:val="003D52D2"/>
    <w:rsid w:val="003D74C7"/>
    <w:rsid w:val="003F3C92"/>
    <w:rsid w:val="004039CF"/>
    <w:rsid w:val="00417333"/>
    <w:rsid w:val="00433D36"/>
    <w:rsid w:val="0044731F"/>
    <w:rsid w:val="00464B2F"/>
    <w:rsid w:val="004656B4"/>
    <w:rsid w:val="0046643F"/>
    <w:rsid w:val="00467994"/>
    <w:rsid w:val="00477FE3"/>
    <w:rsid w:val="004B6B26"/>
    <w:rsid w:val="004D56B1"/>
    <w:rsid w:val="004D7E97"/>
    <w:rsid w:val="004E2270"/>
    <w:rsid w:val="00500C04"/>
    <w:rsid w:val="00514F00"/>
    <w:rsid w:val="0051716A"/>
    <w:rsid w:val="00526772"/>
    <w:rsid w:val="00552C90"/>
    <w:rsid w:val="00575BB4"/>
    <w:rsid w:val="00585A01"/>
    <w:rsid w:val="00595EFD"/>
    <w:rsid w:val="00596170"/>
    <w:rsid w:val="005D7290"/>
    <w:rsid w:val="005F0434"/>
    <w:rsid w:val="005F1B54"/>
    <w:rsid w:val="005F5DC6"/>
    <w:rsid w:val="00605F78"/>
    <w:rsid w:val="0060663B"/>
    <w:rsid w:val="00614DA5"/>
    <w:rsid w:val="006510E0"/>
    <w:rsid w:val="00656BA6"/>
    <w:rsid w:val="00672258"/>
    <w:rsid w:val="00675475"/>
    <w:rsid w:val="006950BC"/>
    <w:rsid w:val="00696AFD"/>
    <w:rsid w:val="006A0811"/>
    <w:rsid w:val="006A204C"/>
    <w:rsid w:val="006D2B74"/>
    <w:rsid w:val="006D6B44"/>
    <w:rsid w:val="006E5E2D"/>
    <w:rsid w:val="00715AE5"/>
    <w:rsid w:val="0072277F"/>
    <w:rsid w:val="00723DF0"/>
    <w:rsid w:val="00725983"/>
    <w:rsid w:val="00734F43"/>
    <w:rsid w:val="00777EB4"/>
    <w:rsid w:val="007A4CA9"/>
    <w:rsid w:val="007D1D35"/>
    <w:rsid w:val="007E1D2B"/>
    <w:rsid w:val="007E596C"/>
    <w:rsid w:val="007E695D"/>
    <w:rsid w:val="007F3BEC"/>
    <w:rsid w:val="007F4A50"/>
    <w:rsid w:val="00801B8B"/>
    <w:rsid w:val="00802025"/>
    <w:rsid w:val="00836F29"/>
    <w:rsid w:val="008552AE"/>
    <w:rsid w:val="00881A70"/>
    <w:rsid w:val="00894EE3"/>
    <w:rsid w:val="00896433"/>
    <w:rsid w:val="008B1E9C"/>
    <w:rsid w:val="008B5CA1"/>
    <w:rsid w:val="008C0AD5"/>
    <w:rsid w:val="008C0BB4"/>
    <w:rsid w:val="008D7E17"/>
    <w:rsid w:val="008F0908"/>
    <w:rsid w:val="009119FA"/>
    <w:rsid w:val="00912E53"/>
    <w:rsid w:val="009131F3"/>
    <w:rsid w:val="0092546F"/>
    <w:rsid w:val="009435FC"/>
    <w:rsid w:val="00946429"/>
    <w:rsid w:val="0095253A"/>
    <w:rsid w:val="00954C10"/>
    <w:rsid w:val="00972C34"/>
    <w:rsid w:val="0097704A"/>
    <w:rsid w:val="009809AA"/>
    <w:rsid w:val="009966E6"/>
    <w:rsid w:val="009A336A"/>
    <w:rsid w:val="009A65BD"/>
    <w:rsid w:val="009D5B56"/>
    <w:rsid w:val="009F3D48"/>
    <w:rsid w:val="00A1762E"/>
    <w:rsid w:val="00A26CD6"/>
    <w:rsid w:val="00A325EB"/>
    <w:rsid w:val="00A67311"/>
    <w:rsid w:val="00A91F1D"/>
    <w:rsid w:val="00A926A5"/>
    <w:rsid w:val="00A92973"/>
    <w:rsid w:val="00A96339"/>
    <w:rsid w:val="00AC2F55"/>
    <w:rsid w:val="00AD67C4"/>
    <w:rsid w:val="00AF0A61"/>
    <w:rsid w:val="00B10E3F"/>
    <w:rsid w:val="00B1186F"/>
    <w:rsid w:val="00B135CE"/>
    <w:rsid w:val="00B1425B"/>
    <w:rsid w:val="00B40B16"/>
    <w:rsid w:val="00B463FD"/>
    <w:rsid w:val="00B55DB1"/>
    <w:rsid w:val="00B84CB3"/>
    <w:rsid w:val="00B87742"/>
    <w:rsid w:val="00B9173E"/>
    <w:rsid w:val="00B93B66"/>
    <w:rsid w:val="00BB2A54"/>
    <w:rsid w:val="00BB4102"/>
    <w:rsid w:val="00BD17DE"/>
    <w:rsid w:val="00BD4B63"/>
    <w:rsid w:val="00C11C44"/>
    <w:rsid w:val="00C22A33"/>
    <w:rsid w:val="00C43B1E"/>
    <w:rsid w:val="00C50B12"/>
    <w:rsid w:val="00C51CCB"/>
    <w:rsid w:val="00C83027"/>
    <w:rsid w:val="00CB08EF"/>
    <w:rsid w:val="00CC4072"/>
    <w:rsid w:val="00CF4E36"/>
    <w:rsid w:val="00D02B71"/>
    <w:rsid w:val="00D2555F"/>
    <w:rsid w:val="00D37705"/>
    <w:rsid w:val="00D554C7"/>
    <w:rsid w:val="00D61FD2"/>
    <w:rsid w:val="00D70875"/>
    <w:rsid w:val="00D72550"/>
    <w:rsid w:val="00D9331F"/>
    <w:rsid w:val="00DA5C7E"/>
    <w:rsid w:val="00DB02DD"/>
    <w:rsid w:val="00DB267D"/>
    <w:rsid w:val="00DB5FE3"/>
    <w:rsid w:val="00DE0D46"/>
    <w:rsid w:val="00DE1F36"/>
    <w:rsid w:val="00E04886"/>
    <w:rsid w:val="00E066B1"/>
    <w:rsid w:val="00E26A52"/>
    <w:rsid w:val="00E35C30"/>
    <w:rsid w:val="00E446BA"/>
    <w:rsid w:val="00E559BE"/>
    <w:rsid w:val="00E67229"/>
    <w:rsid w:val="00E73F72"/>
    <w:rsid w:val="00E94C8A"/>
    <w:rsid w:val="00EA571F"/>
    <w:rsid w:val="00EB10C5"/>
    <w:rsid w:val="00EC2669"/>
    <w:rsid w:val="00EC6935"/>
    <w:rsid w:val="00EC754E"/>
    <w:rsid w:val="00ED1043"/>
    <w:rsid w:val="00EE02DF"/>
    <w:rsid w:val="00EE577D"/>
    <w:rsid w:val="00F00AB7"/>
    <w:rsid w:val="00F030EF"/>
    <w:rsid w:val="00F0341E"/>
    <w:rsid w:val="00F05E87"/>
    <w:rsid w:val="00F10C76"/>
    <w:rsid w:val="00F10E4E"/>
    <w:rsid w:val="00F135BA"/>
    <w:rsid w:val="00F14B50"/>
    <w:rsid w:val="00F242F4"/>
    <w:rsid w:val="00F25387"/>
    <w:rsid w:val="00F3239A"/>
    <w:rsid w:val="00F57C8C"/>
    <w:rsid w:val="00F65719"/>
    <w:rsid w:val="00F660C4"/>
    <w:rsid w:val="00F73B85"/>
    <w:rsid w:val="00FA5D76"/>
    <w:rsid w:val="00FB3FA2"/>
    <w:rsid w:val="00FC3911"/>
    <w:rsid w:val="00FD09BE"/>
    <w:rsid w:val="00FD5F3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EC9CB5"/>
  <w15:docId w15:val="{6FF8D494-FEDB-4809-A9C7-A229C680C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next w:val="Normale"/>
    <w:link w:val="Titolo1Carattere"/>
    <w:uiPriority w:val="9"/>
    <w:qFormat/>
    <w:rsid w:val="008552A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E35C30"/>
    <w:pPr>
      <w:keepNext/>
      <w:keepLines/>
      <w:widowControl/>
      <w:autoSpaceDE/>
      <w:autoSpaceDN/>
      <w:spacing w:before="40" w:line="360" w:lineRule="auto"/>
      <w:jc w:val="both"/>
      <w:outlineLvl w:val="1"/>
    </w:pPr>
    <w:rPr>
      <w:rFonts w:eastAsiaTheme="majorEastAsia" w:cstheme="majorBidi"/>
      <w:b/>
      <w:i/>
      <w:kern w:val="2"/>
      <w:sz w:val="24"/>
      <w:szCs w:val="26"/>
      <w:lang w:eastAsia="zh-CN"/>
      <w14:ligatures w14:val="standardContextual"/>
    </w:rPr>
  </w:style>
  <w:style w:type="paragraph" w:styleId="Titolo3">
    <w:name w:val="heading 3"/>
    <w:basedOn w:val="Normale"/>
    <w:next w:val="Normale"/>
    <w:link w:val="Titolo3Carattere"/>
    <w:uiPriority w:val="9"/>
    <w:semiHidden/>
    <w:unhideWhenUsed/>
    <w:qFormat/>
    <w:rsid w:val="00B8774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0"/>
      <w:szCs w:val="20"/>
    </w:rPr>
  </w:style>
  <w:style w:type="paragraph" w:styleId="Titolo">
    <w:name w:val="Title"/>
    <w:basedOn w:val="Normale"/>
    <w:uiPriority w:val="10"/>
    <w:qFormat/>
    <w:pPr>
      <w:spacing w:before="276"/>
      <w:ind w:left="140"/>
      <w:jc w:val="center"/>
    </w:pPr>
    <w:rPr>
      <w:b/>
      <w:bCs/>
      <w:sz w:val="32"/>
      <w:szCs w:val="32"/>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NormaleWeb">
    <w:name w:val="Normal (Web)"/>
    <w:basedOn w:val="Normale"/>
    <w:uiPriority w:val="99"/>
    <w:unhideWhenUsed/>
    <w:rsid w:val="00656BA6"/>
    <w:pPr>
      <w:widowControl/>
      <w:autoSpaceDE/>
      <w:autoSpaceDN/>
      <w:spacing w:before="100" w:beforeAutospacing="1" w:after="100" w:afterAutospacing="1"/>
    </w:pPr>
    <w:rPr>
      <w:sz w:val="24"/>
      <w:szCs w:val="24"/>
      <w:lang w:val="en-GB" w:eastAsia="en-GB"/>
    </w:rPr>
  </w:style>
  <w:style w:type="paragraph" w:styleId="Testonotaapidipagina">
    <w:name w:val="footnote text"/>
    <w:basedOn w:val="Normale"/>
    <w:link w:val="TestonotaapidipaginaCarattere"/>
    <w:uiPriority w:val="99"/>
    <w:unhideWhenUsed/>
    <w:rsid w:val="00656BA6"/>
    <w:pPr>
      <w:widowControl/>
      <w:autoSpaceDE/>
      <w:autoSpaceDN/>
    </w:pPr>
    <w:rPr>
      <w:rFonts w:asciiTheme="minorHAnsi" w:eastAsiaTheme="minorHAnsi" w:hAnsiTheme="minorHAnsi" w:cstheme="minorBidi"/>
      <w:kern w:val="2"/>
      <w:sz w:val="20"/>
      <w:szCs w:val="20"/>
      <w:lang w:val="en-GB"/>
      <w14:ligatures w14:val="standardContextual"/>
    </w:rPr>
  </w:style>
  <w:style w:type="character" w:customStyle="1" w:styleId="TestonotaapidipaginaCarattere">
    <w:name w:val="Testo nota a piè di pagina Carattere"/>
    <w:basedOn w:val="Carpredefinitoparagrafo"/>
    <w:link w:val="Testonotaapidipagina"/>
    <w:uiPriority w:val="99"/>
    <w:rsid w:val="00656BA6"/>
    <w:rPr>
      <w:kern w:val="2"/>
      <w:sz w:val="20"/>
      <w:szCs w:val="20"/>
      <w:lang w:val="en-GB"/>
      <w14:ligatures w14:val="standardContextual"/>
    </w:rPr>
  </w:style>
  <w:style w:type="character" w:styleId="Rimandonotaapidipagina">
    <w:name w:val="footnote reference"/>
    <w:basedOn w:val="Carpredefinitoparagrafo"/>
    <w:uiPriority w:val="99"/>
    <w:semiHidden/>
    <w:unhideWhenUsed/>
    <w:rsid w:val="00656BA6"/>
    <w:rPr>
      <w:vertAlign w:val="superscript"/>
    </w:rPr>
  </w:style>
  <w:style w:type="character" w:styleId="Collegamentoipertestuale">
    <w:name w:val="Hyperlink"/>
    <w:basedOn w:val="Carpredefinitoparagrafo"/>
    <w:uiPriority w:val="99"/>
    <w:unhideWhenUsed/>
    <w:rsid w:val="003D52D2"/>
    <w:rPr>
      <w:color w:val="0000FF" w:themeColor="hyperlink"/>
      <w:u w:val="single"/>
    </w:rPr>
  </w:style>
  <w:style w:type="character" w:customStyle="1" w:styleId="CorpotestoCarattere">
    <w:name w:val="Corpo testo Carattere"/>
    <w:basedOn w:val="Carpredefinitoparagrafo"/>
    <w:link w:val="Corpotesto"/>
    <w:uiPriority w:val="1"/>
    <w:rsid w:val="0046643F"/>
    <w:rPr>
      <w:rFonts w:ascii="Times New Roman" w:eastAsia="Times New Roman" w:hAnsi="Times New Roman" w:cs="Times New Roman"/>
      <w:sz w:val="20"/>
      <w:szCs w:val="20"/>
      <w:lang w:val="it-IT"/>
    </w:rPr>
  </w:style>
  <w:style w:type="character" w:customStyle="1" w:styleId="Titolo2Carattere">
    <w:name w:val="Titolo 2 Carattere"/>
    <w:basedOn w:val="Carpredefinitoparagrafo"/>
    <w:link w:val="Titolo2"/>
    <w:uiPriority w:val="9"/>
    <w:rsid w:val="00E35C30"/>
    <w:rPr>
      <w:rFonts w:ascii="Times New Roman" w:eastAsiaTheme="majorEastAsia" w:hAnsi="Times New Roman" w:cstheme="majorBidi"/>
      <w:b/>
      <w:i/>
      <w:kern w:val="2"/>
      <w:sz w:val="24"/>
      <w:szCs w:val="26"/>
      <w:lang w:val="it-IT" w:eastAsia="zh-CN"/>
      <w14:ligatures w14:val="standardContextual"/>
    </w:rPr>
  </w:style>
  <w:style w:type="paragraph" w:customStyle="1" w:styleId="TITOLO0">
    <w:name w:val="TITOLO"/>
    <w:basedOn w:val="Normale"/>
    <w:link w:val="TITOLOCarattere"/>
    <w:qFormat/>
    <w:rsid w:val="00E35C30"/>
    <w:pPr>
      <w:widowControl/>
      <w:autoSpaceDE/>
      <w:autoSpaceDN/>
      <w:spacing w:line="360" w:lineRule="auto"/>
      <w:jc w:val="center"/>
    </w:pPr>
    <w:rPr>
      <w:rFonts w:eastAsiaTheme="minorEastAsia" w:cstheme="minorBidi"/>
      <w:b/>
      <w:kern w:val="2"/>
      <w:sz w:val="32"/>
      <w:lang w:val="en-US" w:eastAsia="zh-CN"/>
      <w14:ligatures w14:val="standardContextual"/>
    </w:rPr>
  </w:style>
  <w:style w:type="character" w:customStyle="1" w:styleId="TITOLOCarattere">
    <w:name w:val="TITOLO Carattere"/>
    <w:basedOn w:val="Carpredefinitoparagrafo"/>
    <w:link w:val="TITOLO0"/>
    <w:rsid w:val="00E35C30"/>
    <w:rPr>
      <w:rFonts w:ascii="Times New Roman" w:eastAsiaTheme="minorEastAsia" w:hAnsi="Times New Roman"/>
      <w:b/>
      <w:kern w:val="2"/>
      <w:sz w:val="32"/>
      <w:lang w:eastAsia="zh-CN"/>
      <w14:ligatures w14:val="standardContextual"/>
    </w:rPr>
  </w:style>
  <w:style w:type="character" w:customStyle="1" w:styleId="Titolo3Carattere">
    <w:name w:val="Titolo 3 Carattere"/>
    <w:basedOn w:val="Carpredefinitoparagrafo"/>
    <w:link w:val="Titolo3"/>
    <w:uiPriority w:val="9"/>
    <w:semiHidden/>
    <w:rsid w:val="00B87742"/>
    <w:rPr>
      <w:rFonts w:asciiTheme="majorHAnsi" w:eastAsiaTheme="majorEastAsia" w:hAnsiTheme="majorHAnsi" w:cstheme="majorBidi"/>
      <w:color w:val="243F60" w:themeColor="accent1" w:themeShade="7F"/>
      <w:sz w:val="24"/>
      <w:szCs w:val="24"/>
      <w:lang w:val="it-IT"/>
    </w:rPr>
  </w:style>
  <w:style w:type="paragraph" w:styleId="Intestazione">
    <w:name w:val="header"/>
    <w:basedOn w:val="Normale"/>
    <w:link w:val="IntestazioneCarattere"/>
    <w:uiPriority w:val="99"/>
    <w:unhideWhenUsed/>
    <w:rsid w:val="006A204C"/>
    <w:pPr>
      <w:tabs>
        <w:tab w:val="center" w:pos="4819"/>
        <w:tab w:val="right" w:pos="9638"/>
      </w:tabs>
    </w:pPr>
  </w:style>
  <w:style w:type="character" w:customStyle="1" w:styleId="IntestazioneCarattere">
    <w:name w:val="Intestazione Carattere"/>
    <w:basedOn w:val="Carpredefinitoparagrafo"/>
    <w:link w:val="Intestazione"/>
    <w:uiPriority w:val="99"/>
    <w:rsid w:val="006A204C"/>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6A204C"/>
    <w:pPr>
      <w:tabs>
        <w:tab w:val="center" w:pos="4819"/>
        <w:tab w:val="right" w:pos="9638"/>
      </w:tabs>
    </w:pPr>
  </w:style>
  <w:style w:type="character" w:customStyle="1" w:styleId="PidipaginaCarattere">
    <w:name w:val="Piè di pagina Carattere"/>
    <w:basedOn w:val="Carpredefinitoparagrafo"/>
    <w:link w:val="Pidipagina"/>
    <w:uiPriority w:val="99"/>
    <w:rsid w:val="006A204C"/>
    <w:rPr>
      <w:rFonts w:ascii="Times New Roman" w:eastAsia="Times New Roman" w:hAnsi="Times New Roman" w:cs="Times New Roman"/>
      <w:lang w:val="it-IT"/>
    </w:rPr>
  </w:style>
  <w:style w:type="character" w:customStyle="1" w:styleId="Titolo1Carattere">
    <w:name w:val="Titolo 1 Carattere"/>
    <w:basedOn w:val="Carpredefinitoparagrafo"/>
    <w:link w:val="Titolo1"/>
    <w:uiPriority w:val="9"/>
    <w:rsid w:val="008552AE"/>
    <w:rPr>
      <w:rFonts w:asciiTheme="majorHAnsi" w:eastAsiaTheme="majorEastAsia" w:hAnsiTheme="majorHAnsi" w:cstheme="majorBidi"/>
      <w:color w:val="365F91" w:themeColor="accent1" w:themeShade="BF"/>
      <w:sz w:val="32"/>
      <w:szCs w:val="32"/>
      <w:lang w:val="it-IT"/>
    </w:rPr>
  </w:style>
  <w:style w:type="character" w:styleId="Menzionenonrisolta">
    <w:name w:val="Unresolved Mention"/>
    <w:basedOn w:val="Carpredefinitoparagrafo"/>
    <w:uiPriority w:val="99"/>
    <w:semiHidden/>
    <w:unhideWhenUsed/>
    <w:rsid w:val="00BB2A54"/>
    <w:rPr>
      <w:color w:val="605E5C"/>
      <w:shd w:val="clear" w:color="auto" w:fill="E1DFDD"/>
    </w:rPr>
  </w:style>
  <w:style w:type="character" w:styleId="Enfasicorsivo">
    <w:name w:val="Emphasis"/>
    <w:basedOn w:val="Carpredefinitoparagrafo"/>
    <w:uiPriority w:val="20"/>
    <w:qFormat/>
    <w:rsid w:val="00DE0D46"/>
    <w:rPr>
      <w:i/>
      <w:iCs/>
    </w:rPr>
  </w:style>
  <w:style w:type="character" w:styleId="Rimandocommento">
    <w:name w:val="annotation reference"/>
    <w:basedOn w:val="Carpredefinitoparagrafo"/>
    <w:uiPriority w:val="99"/>
    <w:semiHidden/>
    <w:unhideWhenUsed/>
    <w:rsid w:val="00F10C76"/>
    <w:rPr>
      <w:sz w:val="16"/>
      <w:szCs w:val="16"/>
    </w:rPr>
  </w:style>
  <w:style w:type="paragraph" w:styleId="Testocommento">
    <w:name w:val="annotation text"/>
    <w:basedOn w:val="Normale"/>
    <w:link w:val="TestocommentoCarattere"/>
    <w:uiPriority w:val="99"/>
    <w:unhideWhenUsed/>
    <w:rsid w:val="00F10C76"/>
    <w:rPr>
      <w:sz w:val="20"/>
      <w:szCs w:val="20"/>
    </w:rPr>
  </w:style>
  <w:style w:type="character" w:customStyle="1" w:styleId="TestocommentoCarattere">
    <w:name w:val="Testo commento Carattere"/>
    <w:basedOn w:val="Carpredefinitoparagrafo"/>
    <w:link w:val="Testocommento"/>
    <w:uiPriority w:val="99"/>
    <w:rsid w:val="00F10C76"/>
    <w:rPr>
      <w:rFonts w:ascii="Times New Roman" w:eastAsia="Times New Roman" w:hAnsi="Times New Roman" w:cs="Times New Roman"/>
      <w:sz w:val="20"/>
      <w:szCs w:val="20"/>
      <w:lang w:val="it-IT"/>
    </w:rPr>
  </w:style>
  <w:style w:type="paragraph" w:styleId="Soggettocommento">
    <w:name w:val="annotation subject"/>
    <w:basedOn w:val="Testocommento"/>
    <w:next w:val="Testocommento"/>
    <w:link w:val="SoggettocommentoCarattere"/>
    <w:uiPriority w:val="99"/>
    <w:semiHidden/>
    <w:unhideWhenUsed/>
    <w:rsid w:val="00F10C76"/>
    <w:rPr>
      <w:b/>
      <w:bCs/>
    </w:rPr>
  </w:style>
  <w:style w:type="character" w:customStyle="1" w:styleId="SoggettocommentoCarattere">
    <w:name w:val="Soggetto commento Carattere"/>
    <w:basedOn w:val="TestocommentoCarattere"/>
    <w:link w:val="Soggettocommento"/>
    <w:uiPriority w:val="99"/>
    <w:semiHidden/>
    <w:rsid w:val="00F10C76"/>
    <w:rPr>
      <w:rFonts w:ascii="Times New Roman" w:eastAsia="Times New Roman" w:hAnsi="Times New Roman" w:cs="Times New Roman"/>
      <w:b/>
      <w:bCs/>
      <w:sz w:val="20"/>
      <w:szCs w:val="20"/>
      <w:lang w:val="it-IT"/>
    </w:rPr>
  </w:style>
  <w:style w:type="paragraph" w:styleId="Testofumetto">
    <w:name w:val="Balloon Text"/>
    <w:basedOn w:val="Normale"/>
    <w:link w:val="TestofumettoCarattere"/>
    <w:uiPriority w:val="99"/>
    <w:semiHidden/>
    <w:unhideWhenUsed/>
    <w:rsid w:val="00696AF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96AFD"/>
    <w:rPr>
      <w:rFonts w:ascii="Segoe UI" w:eastAsia="Times New Roman" w:hAnsi="Segoe UI" w:cs="Segoe UI"/>
      <w:sz w:val="18"/>
      <w:szCs w:val="18"/>
      <w:lang w:val="it-IT"/>
    </w:rPr>
  </w:style>
  <w:style w:type="paragraph" w:styleId="Revisione">
    <w:name w:val="Revision"/>
    <w:hidden/>
    <w:uiPriority w:val="99"/>
    <w:semiHidden/>
    <w:rsid w:val="00124DC6"/>
    <w:pPr>
      <w:widowControl/>
      <w:autoSpaceDE/>
      <w:autoSpaceDN/>
    </w:pPr>
    <w:rPr>
      <w:rFonts w:ascii="Times New Roman" w:eastAsia="Times New Roman" w:hAnsi="Times New Roman"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5844">
      <w:bodyDiv w:val="1"/>
      <w:marLeft w:val="0"/>
      <w:marRight w:val="0"/>
      <w:marTop w:val="0"/>
      <w:marBottom w:val="0"/>
      <w:divBdr>
        <w:top w:val="none" w:sz="0" w:space="0" w:color="auto"/>
        <w:left w:val="none" w:sz="0" w:space="0" w:color="auto"/>
        <w:bottom w:val="none" w:sz="0" w:space="0" w:color="auto"/>
        <w:right w:val="none" w:sz="0" w:space="0" w:color="auto"/>
      </w:divBdr>
    </w:div>
    <w:div w:id="44108652">
      <w:bodyDiv w:val="1"/>
      <w:marLeft w:val="0"/>
      <w:marRight w:val="0"/>
      <w:marTop w:val="0"/>
      <w:marBottom w:val="0"/>
      <w:divBdr>
        <w:top w:val="none" w:sz="0" w:space="0" w:color="auto"/>
        <w:left w:val="none" w:sz="0" w:space="0" w:color="auto"/>
        <w:bottom w:val="none" w:sz="0" w:space="0" w:color="auto"/>
        <w:right w:val="none" w:sz="0" w:space="0" w:color="auto"/>
      </w:divBdr>
      <w:divsChild>
        <w:div w:id="2732908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5125790">
      <w:bodyDiv w:val="1"/>
      <w:marLeft w:val="0"/>
      <w:marRight w:val="0"/>
      <w:marTop w:val="0"/>
      <w:marBottom w:val="0"/>
      <w:divBdr>
        <w:top w:val="none" w:sz="0" w:space="0" w:color="auto"/>
        <w:left w:val="none" w:sz="0" w:space="0" w:color="auto"/>
        <w:bottom w:val="none" w:sz="0" w:space="0" w:color="auto"/>
        <w:right w:val="none" w:sz="0" w:space="0" w:color="auto"/>
      </w:divBdr>
    </w:div>
    <w:div w:id="84764682">
      <w:bodyDiv w:val="1"/>
      <w:marLeft w:val="0"/>
      <w:marRight w:val="0"/>
      <w:marTop w:val="0"/>
      <w:marBottom w:val="0"/>
      <w:divBdr>
        <w:top w:val="none" w:sz="0" w:space="0" w:color="auto"/>
        <w:left w:val="none" w:sz="0" w:space="0" w:color="auto"/>
        <w:bottom w:val="none" w:sz="0" w:space="0" w:color="auto"/>
        <w:right w:val="none" w:sz="0" w:space="0" w:color="auto"/>
      </w:divBdr>
      <w:divsChild>
        <w:div w:id="5584460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36226">
      <w:bodyDiv w:val="1"/>
      <w:marLeft w:val="0"/>
      <w:marRight w:val="0"/>
      <w:marTop w:val="0"/>
      <w:marBottom w:val="0"/>
      <w:divBdr>
        <w:top w:val="none" w:sz="0" w:space="0" w:color="auto"/>
        <w:left w:val="none" w:sz="0" w:space="0" w:color="auto"/>
        <w:bottom w:val="none" w:sz="0" w:space="0" w:color="auto"/>
        <w:right w:val="none" w:sz="0" w:space="0" w:color="auto"/>
      </w:divBdr>
    </w:div>
    <w:div w:id="243804658">
      <w:bodyDiv w:val="1"/>
      <w:marLeft w:val="0"/>
      <w:marRight w:val="0"/>
      <w:marTop w:val="0"/>
      <w:marBottom w:val="0"/>
      <w:divBdr>
        <w:top w:val="none" w:sz="0" w:space="0" w:color="auto"/>
        <w:left w:val="none" w:sz="0" w:space="0" w:color="auto"/>
        <w:bottom w:val="none" w:sz="0" w:space="0" w:color="auto"/>
        <w:right w:val="none" w:sz="0" w:space="0" w:color="auto"/>
      </w:divBdr>
    </w:div>
    <w:div w:id="261306025">
      <w:bodyDiv w:val="1"/>
      <w:marLeft w:val="0"/>
      <w:marRight w:val="0"/>
      <w:marTop w:val="0"/>
      <w:marBottom w:val="0"/>
      <w:divBdr>
        <w:top w:val="none" w:sz="0" w:space="0" w:color="auto"/>
        <w:left w:val="none" w:sz="0" w:space="0" w:color="auto"/>
        <w:bottom w:val="none" w:sz="0" w:space="0" w:color="auto"/>
        <w:right w:val="none" w:sz="0" w:space="0" w:color="auto"/>
      </w:divBdr>
    </w:div>
    <w:div w:id="320305981">
      <w:bodyDiv w:val="1"/>
      <w:marLeft w:val="0"/>
      <w:marRight w:val="0"/>
      <w:marTop w:val="0"/>
      <w:marBottom w:val="0"/>
      <w:divBdr>
        <w:top w:val="none" w:sz="0" w:space="0" w:color="auto"/>
        <w:left w:val="none" w:sz="0" w:space="0" w:color="auto"/>
        <w:bottom w:val="none" w:sz="0" w:space="0" w:color="auto"/>
        <w:right w:val="none" w:sz="0" w:space="0" w:color="auto"/>
      </w:divBdr>
    </w:div>
    <w:div w:id="331640902">
      <w:bodyDiv w:val="1"/>
      <w:marLeft w:val="0"/>
      <w:marRight w:val="0"/>
      <w:marTop w:val="0"/>
      <w:marBottom w:val="0"/>
      <w:divBdr>
        <w:top w:val="none" w:sz="0" w:space="0" w:color="auto"/>
        <w:left w:val="none" w:sz="0" w:space="0" w:color="auto"/>
        <w:bottom w:val="none" w:sz="0" w:space="0" w:color="auto"/>
        <w:right w:val="none" w:sz="0" w:space="0" w:color="auto"/>
      </w:divBdr>
    </w:div>
    <w:div w:id="377094681">
      <w:bodyDiv w:val="1"/>
      <w:marLeft w:val="0"/>
      <w:marRight w:val="0"/>
      <w:marTop w:val="0"/>
      <w:marBottom w:val="0"/>
      <w:divBdr>
        <w:top w:val="none" w:sz="0" w:space="0" w:color="auto"/>
        <w:left w:val="none" w:sz="0" w:space="0" w:color="auto"/>
        <w:bottom w:val="none" w:sz="0" w:space="0" w:color="auto"/>
        <w:right w:val="none" w:sz="0" w:space="0" w:color="auto"/>
      </w:divBdr>
    </w:div>
    <w:div w:id="489173512">
      <w:bodyDiv w:val="1"/>
      <w:marLeft w:val="0"/>
      <w:marRight w:val="0"/>
      <w:marTop w:val="0"/>
      <w:marBottom w:val="0"/>
      <w:divBdr>
        <w:top w:val="none" w:sz="0" w:space="0" w:color="auto"/>
        <w:left w:val="none" w:sz="0" w:space="0" w:color="auto"/>
        <w:bottom w:val="none" w:sz="0" w:space="0" w:color="auto"/>
        <w:right w:val="none" w:sz="0" w:space="0" w:color="auto"/>
      </w:divBdr>
    </w:div>
    <w:div w:id="527643992">
      <w:bodyDiv w:val="1"/>
      <w:marLeft w:val="0"/>
      <w:marRight w:val="0"/>
      <w:marTop w:val="0"/>
      <w:marBottom w:val="0"/>
      <w:divBdr>
        <w:top w:val="none" w:sz="0" w:space="0" w:color="auto"/>
        <w:left w:val="none" w:sz="0" w:space="0" w:color="auto"/>
        <w:bottom w:val="none" w:sz="0" w:space="0" w:color="auto"/>
        <w:right w:val="none" w:sz="0" w:space="0" w:color="auto"/>
      </w:divBdr>
    </w:div>
    <w:div w:id="528837841">
      <w:bodyDiv w:val="1"/>
      <w:marLeft w:val="0"/>
      <w:marRight w:val="0"/>
      <w:marTop w:val="0"/>
      <w:marBottom w:val="0"/>
      <w:divBdr>
        <w:top w:val="none" w:sz="0" w:space="0" w:color="auto"/>
        <w:left w:val="none" w:sz="0" w:space="0" w:color="auto"/>
        <w:bottom w:val="none" w:sz="0" w:space="0" w:color="auto"/>
        <w:right w:val="none" w:sz="0" w:space="0" w:color="auto"/>
      </w:divBdr>
      <w:divsChild>
        <w:div w:id="1995716075">
          <w:marLeft w:val="0"/>
          <w:marRight w:val="0"/>
          <w:marTop w:val="0"/>
          <w:marBottom w:val="0"/>
          <w:divBdr>
            <w:top w:val="none" w:sz="0" w:space="0" w:color="auto"/>
            <w:left w:val="none" w:sz="0" w:space="0" w:color="auto"/>
            <w:bottom w:val="none" w:sz="0" w:space="0" w:color="auto"/>
            <w:right w:val="none" w:sz="0" w:space="0" w:color="auto"/>
          </w:divBdr>
          <w:divsChild>
            <w:div w:id="1196381283">
              <w:marLeft w:val="0"/>
              <w:marRight w:val="0"/>
              <w:marTop w:val="0"/>
              <w:marBottom w:val="0"/>
              <w:divBdr>
                <w:top w:val="none" w:sz="0" w:space="0" w:color="auto"/>
                <w:left w:val="none" w:sz="0" w:space="0" w:color="auto"/>
                <w:bottom w:val="none" w:sz="0" w:space="0" w:color="auto"/>
                <w:right w:val="none" w:sz="0" w:space="0" w:color="auto"/>
              </w:divBdr>
              <w:divsChild>
                <w:div w:id="1376544610">
                  <w:marLeft w:val="0"/>
                  <w:marRight w:val="0"/>
                  <w:marTop w:val="0"/>
                  <w:marBottom w:val="0"/>
                  <w:divBdr>
                    <w:top w:val="none" w:sz="0" w:space="0" w:color="auto"/>
                    <w:left w:val="none" w:sz="0" w:space="0" w:color="auto"/>
                    <w:bottom w:val="none" w:sz="0" w:space="0" w:color="auto"/>
                    <w:right w:val="none" w:sz="0" w:space="0" w:color="auto"/>
                  </w:divBdr>
                  <w:divsChild>
                    <w:div w:id="383992874">
                      <w:marLeft w:val="0"/>
                      <w:marRight w:val="0"/>
                      <w:marTop w:val="0"/>
                      <w:marBottom w:val="0"/>
                      <w:divBdr>
                        <w:top w:val="none" w:sz="0" w:space="0" w:color="auto"/>
                        <w:left w:val="none" w:sz="0" w:space="0" w:color="auto"/>
                        <w:bottom w:val="none" w:sz="0" w:space="0" w:color="auto"/>
                        <w:right w:val="none" w:sz="0" w:space="0" w:color="auto"/>
                      </w:divBdr>
                      <w:divsChild>
                        <w:div w:id="476460737">
                          <w:marLeft w:val="0"/>
                          <w:marRight w:val="0"/>
                          <w:marTop w:val="0"/>
                          <w:marBottom w:val="0"/>
                          <w:divBdr>
                            <w:top w:val="none" w:sz="0" w:space="0" w:color="auto"/>
                            <w:left w:val="none" w:sz="0" w:space="0" w:color="auto"/>
                            <w:bottom w:val="none" w:sz="0" w:space="0" w:color="auto"/>
                            <w:right w:val="none" w:sz="0" w:space="0" w:color="auto"/>
                          </w:divBdr>
                          <w:divsChild>
                            <w:div w:id="149672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781932">
                      <w:marLeft w:val="0"/>
                      <w:marRight w:val="0"/>
                      <w:marTop w:val="0"/>
                      <w:marBottom w:val="0"/>
                      <w:divBdr>
                        <w:top w:val="none" w:sz="0" w:space="0" w:color="auto"/>
                        <w:left w:val="none" w:sz="0" w:space="0" w:color="auto"/>
                        <w:bottom w:val="none" w:sz="0" w:space="0" w:color="auto"/>
                        <w:right w:val="none" w:sz="0" w:space="0" w:color="auto"/>
                      </w:divBdr>
                    </w:div>
                    <w:div w:id="243615027">
                      <w:marLeft w:val="0"/>
                      <w:marRight w:val="0"/>
                      <w:marTop w:val="0"/>
                      <w:marBottom w:val="0"/>
                      <w:divBdr>
                        <w:top w:val="none" w:sz="0" w:space="0" w:color="auto"/>
                        <w:left w:val="none" w:sz="0" w:space="0" w:color="auto"/>
                        <w:bottom w:val="none" w:sz="0" w:space="0" w:color="auto"/>
                        <w:right w:val="none" w:sz="0" w:space="0" w:color="auto"/>
                      </w:divBdr>
                      <w:divsChild>
                        <w:div w:id="378478251">
                          <w:marLeft w:val="0"/>
                          <w:marRight w:val="0"/>
                          <w:marTop w:val="0"/>
                          <w:marBottom w:val="0"/>
                          <w:divBdr>
                            <w:top w:val="none" w:sz="0" w:space="0" w:color="auto"/>
                            <w:left w:val="none" w:sz="0" w:space="0" w:color="auto"/>
                            <w:bottom w:val="none" w:sz="0" w:space="0" w:color="auto"/>
                            <w:right w:val="none" w:sz="0" w:space="0" w:color="auto"/>
                          </w:divBdr>
                          <w:divsChild>
                            <w:div w:id="18926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2515625">
          <w:marLeft w:val="0"/>
          <w:marRight w:val="0"/>
          <w:marTop w:val="0"/>
          <w:marBottom w:val="0"/>
          <w:divBdr>
            <w:top w:val="none" w:sz="0" w:space="0" w:color="auto"/>
            <w:left w:val="none" w:sz="0" w:space="0" w:color="auto"/>
            <w:bottom w:val="none" w:sz="0" w:space="0" w:color="auto"/>
            <w:right w:val="none" w:sz="0" w:space="0" w:color="auto"/>
          </w:divBdr>
          <w:divsChild>
            <w:div w:id="1727952802">
              <w:marLeft w:val="0"/>
              <w:marRight w:val="0"/>
              <w:marTop w:val="0"/>
              <w:marBottom w:val="0"/>
              <w:divBdr>
                <w:top w:val="none" w:sz="0" w:space="0" w:color="auto"/>
                <w:left w:val="none" w:sz="0" w:space="0" w:color="auto"/>
                <w:bottom w:val="none" w:sz="0" w:space="0" w:color="auto"/>
                <w:right w:val="none" w:sz="0" w:space="0" w:color="auto"/>
              </w:divBdr>
              <w:divsChild>
                <w:div w:id="1390422472">
                  <w:marLeft w:val="0"/>
                  <w:marRight w:val="0"/>
                  <w:marTop w:val="0"/>
                  <w:marBottom w:val="0"/>
                  <w:divBdr>
                    <w:top w:val="none" w:sz="0" w:space="0" w:color="auto"/>
                    <w:left w:val="none" w:sz="0" w:space="0" w:color="auto"/>
                    <w:bottom w:val="none" w:sz="0" w:space="0" w:color="auto"/>
                    <w:right w:val="none" w:sz="0" w:space="0" w:color="auto"/>
                  </w:divBdr>
                  <w:divsChild>
                    <w:div w:id="1312098100">
                      <w:marLeft w:val="0"/>
                      <w:marRight w:val="0"/>
                      <w:marTop w:val="0"/>
                      <w:marBottom w:val="0"/>
                      <w:divBdr>
                        <w:top w:val="none" w:sz="0" w:space="0" w:color="auto"/>
                        <w:left w:val="none" w:sz="0" w:space="0" w:color="auto"/>
                        <w:bottom w:val="none" w:sz="0" w:space="0" w:color="auto"/>
                        <w:right w:val="none" w:sz="0" w:space="0" w:color="auto"/>
                      </w:divBdr>
                      <w:divsChild>
                        <w:div w:id="1867714970">
                          <w:marLeft w:val="0"/>
                          <w:marRight w:val="0"/>
                          <w:marTop w:val="0"/>
                          <w:marBottom w:val="0"/>
                          <w:divBdr>
                            <w:top w:val="none" w:sz="0" w:space="0" w:color="auto"/>
                            <w:left w:val="none" w:sz="0" w:space="0" w:color="auto"/>
                            <w:bottom w:val="none" w:sz="0" w:space="0" w:color="auto"/>
                            <w:right w:val="none" w:sz="0" w:space="0" w:color="auto"/>
                          </w:divBdr>
                          <w:divsChild>
                            <w:div w:id="58020546">
                              <w:marLeft w:val="0"/>
                              <w:marRight w:val="0"/>
                              <w:marTop w:val="0"/>
                              <w:marBottom w:val="0"/>
                              <w:divBdr>
                                <w:top w:val="none" w:sz="0" w:space="0" w:color="auto"/>
                                <w:left w:val="none" w:sz="0" w:space="0" w:color="auto"/>
                                <w:bottom w:val="none" w:sz="0" w:space="0" w:color="auto"/>
                                <w:right w:val="none" w:sz="0" w:space="0" w:color="auto"/>
                              </w:divBdr>
                              <w:divsChild>
                                <w:div w:id="505634290">
                                  <w:marLeft w:val="0"/>
                                  <w:marRight w:val="0"/>
                                  <w:marTop w:val="0"/>
                                  <w:marBottom w:val="0"/>
                                  <w:divBdr>
                                    <w:top w:val="none" w:sz="0" w:space="0" w:color="auto"/>
                                    <w:left w:val="none" w:sz="0" w:space="0" w:color="auto"/>
                                    <w:bottom w:val="none" w:sz="0" w:space="0" w:color="auto"/>
                                    <w:right w:val="none" w:sz="0" w:space="0" w:color="auto"/>
                                  </w:divBdr>
                                </w:div>
                                <w:div w:id="89562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186771">
      <w:bodyDiv w:val="1"/>
      <w:marLeft w:val="0"/>
      <w:marRight w:val="0"/>
      <w:marTop w:val="0"/>
      <w:marBottom w:val="0"/>
      <w:divBdr>
        <w:top w:val="none" w:sz="0" w:space="0" w:color="auto"/>
        <w:left w:val="none" w:sz="0" w:space="0" w:color="auto"/>
        <w:bottom w:val="none" w:sz="0" w:space="0" w:color="auto"/>
        <w:right w:val="none" w:sz="0" w:space="0" w:color="auto"/>
      </w:divBdr>
    </w:div>
    <w:div w:id="530650942">
      <w:bodyDiv w:val="1"/>
      <w:marLeft w:val="0"/>
      <w:marRight w:val="0"/>
      <w:marTop w:val="0"/>
      <w:marBottom w:val="0"/>
      <w:divBdr>
        <w:top w:val="none" w:sz="0" w:space="0" w:color="auto"/>
        <w:left w:val="none" w:sz="0" w:space="0" w:color="auto"/>
        <w:bottom w:val="none" w:sz="0" w:space="0" w:color="auto"/>
        <w:right w:val="none" w:sz="0" w:space="0" w:color="auto"/>
      </w:divBdr>
    </w:div>
    <w:div w:id="534273616">
      <w:bodyDiv w:val="1"/>
      <w:marLeft w:val="0"/>
      <w:marRight w:val="0"/>
      <w:marTop w:val="0"/>
      <w:marBottom w:val="0"/>
      <w:divBdr>
        <w:top w:val="none" w:sz="0" w:space="0" w:color="auto"/>
        <w:left w:val="none" w:sz="0" w:space="0" w:color="auto"/>
        <w:bottom w:val="none" w:sz="0" w:space="0" w:color="auto"/>
        <w:right w:val="none" w:sz="0" w:space="0" w:color="auto"/>
      </w:divBdr>
    </w:div>
    <w:div w:id="537474502">
      <w:bodyDiv w:val="1"/>
      <w:marLeft w:val="0"/>
      <w:marRight w:val="0"/>
      <w:marTop w:val="0"/>
      <w:marBottom w:val="0"/>
      <w:divBdr>
        <w:top w:val="none" w:sz="0" w:space="0" w:color="auto"/>
        <w:left w:val="none" w:sz="0" w:space="0" w:color="auto"/>
        <w:bottom w:val="none" w:sz="0" w:space="0" w:color="auto"/>
        <w:right w:val="none" w:sz="0" w:space="0" w:color="auto"/>
      </w:divBdr>
    </w:div>
    <w:div w:id="570117465">
      <w:bodyDiv w:val="1"/>
      <w:marLeft w:val="0"/>
      <w:marRight w:val="0"/>
      <w:marTop w:val="0"/>
      <w:marBottom w:val="0"/>
      <w:divBdr>
        <w:top w:val="none" w:sz="0" w:space="0" w:color="auto"/>
        <w:left w:val="none" w:sz="0" w:space="0" w:color="auto"/>
        <w:bottom w:val="none" w:sz="0" w:space="0" w:color="auto"/>
        <w:right w:val="none" w:sz="0" w:space="0" w:color="auto"/>
      </w:divBdr>
    </w:div>
    <w:div w:id="576865899">
      <w:bodyDiv w:val="1"/>
      <w:marLeft w:val="0"/>
      <w:marRight w:val="0"/>
      <w:marTop w:val="0"/>
      <w:marBottom w:val="0"/>
      <w:divBdr>
        <w:top w:val="none" w:sz="0" w:space="0" w:color="auto"/>
        <w:left w:val="none" w:sz="0" w:space="0" w:color="auto"/>
        <w:bottom w:val="none" w:sz="0" w:space="0" w:color="auto"/>
        <w:right w:val="none" w:sz="0" w:space="0" w:color="auto"/>
      </w:divBdr>
    </w:div>
    <w:div w:id="689526092">
      <w:bodyDiv w:val="1"/>
      <w:marLeft w:val="0"/>
      <w:marRight w:val="0"/>
      <w:marTop w:val="0"/>
      <w:marBottom w:val="0"/>
      <w:divBdr>
        <w:top w:val="none" w:sz="0" w:space="0" w:color="auto"/>
        <w:left w:val="none" w:sz="0" w:space="0" w:color="auto"/>
        <w:bottom w:val="none" w:sz="0" w:space="0" w:color="auto"/>
        <w:right w:val="none" w:sz="0" w:space="0" w:color="auto"/>
      </w:divBdr>
    </w:div>
    <w:div w:id="708336868">
      <w:bodyDiv w:val="1"/>
      <w:marLeft w:val="0"/>
      <w:marRight w:val="0"/>
      <w:marTop w:val="0"/>
      <w:marBottom w:val="0"/>
      <w:divBdr>
        <w:top w:val="none" w:sz="0" w:space="0" w:color="auto"/>
        <w:left w:val="none" w:sz="0" w:space="0" w:color="auto"/>
        <w:bottom w:val="none" w:sz="0" w:space="0" w:color="auto"/>
        <w:right w:val="none" w:sz="0" w:space="0" w:color="auto"/>
      </w:divBdr>
    </w:div>
    <w:div w:id="722993726">
      <w:bodyDiv w:val="1"/>
      <w:marLeft w:val="0"/>
      <w:marRight w:val="0"/>
      <w:marTop w:val="0"/>
      <w:marBottom w:val="0"/>
      <w:divBdr>
        <w:top w:val="none" w:sz="0" w:space="0" w:color="auto"/>
        <w:left w:val="none" w:sz="0" w:space="0" w:color="auto"/>
        <w:bottom w:val="none" w:sz="0" w:space="0" w:color="auto"/>
        <w:right w:val="none" w:sz="0" w:space="0" w:color="auto"/>
      </w:divBdr>
    </w:div>
    <w:div w:id="727192095">
      <w:bodyDiv w:val="1"/>
      <w:marLeft w:val="0"/>
      <w:marRight w:val="0"/>
      <w:marTop w:val="0"/>
      <w:marBottom w:val="0"/>
      <w:divBdr>
        <w:top w:val="none" w:sz="0" w:space="0" w:color="auto"/>
        <w:left w:val="none" w:sz="0" w:space="0" w:color="auto"/>
        <w:bottom w:val="none" w:sz="0" w:space="0" w:color="auto"/>
        <w:right w:val="none" w:sz="0" w:space="0" w:color="auto"/>
      </w:divBdr>
    </w:div>
    <w:div w:id="753208763">
      <w:bodyDiv w:val="1"/>
      <w:marLeft w:val="0"/>
      <w:marRight w:val="0"/>
      <w:marTop w:val="0"/>
      <w:marBottom w:val="0"/>
      <w:divBdr>
        <w:top w:val="none" w:sz="0" w:space="0" w:color="auto"/>
        <w:left w:val="none" w:sz="0" w:space="0" w:color="auto"/>
        <w:bottom w:val="none" w:sz="0" w:space="0" w:color="auto"/>
        <w:right w:val="none" w:sz="0" w:space="0" w:color="auto"/>
      </w:divBdr>
    </w:div>
    <w:div w:id="792748905">
      <w:bodyDiv w:val="1"/>
      <w:marLeft w:val="0"/>
      <w:marRight w:val="0"/>
      <w:marTop w:val="0"/>
      <w:marBottom w:val="0"/>
      <w:divBdr>
        <w:top w:val="none" w:sz="0" w:space="0" w:color="auto"/>
        <w:left w:val="none" w:sz="0" w:space="0" w:color="auto"/>
        <w:bottom w:val="none" w:sz="0" w:space="0" w:color="auto"/>
        <w:right w:val="none" w:sz="0" w:space="0" w:color="auto"/>
      </w:divBdr>
    </w:div>
    <w:div w:id="862400894">
      <w:bodyDiv w:val="1"/>
      <w:marLeft w:val="0"/>
      <w:marRight w:val="0"/>
      <w:marTop w:val="0"/>
      <w:marBottom w:val="0"/>
      <w:divBdr>
        <w:top w:val="none" w:sz="0" w:space="0" w:color="auto"/>
        <w:left w:val="none" w:sz="0" w:space="0" w:color="auto"/>
        <w:bottom w:val="none" w:sz="0" w:space="0" w:color="auto"/>
        <w:right w:val="none" w:sz="0" w:space="0" w:color="auto"/>
      </w:divBdr>
    </w:div>
    <w:div w:id="863327107">
      <w:bodyDiv w:val="1"/>
      <w:marLeft w:val="0"/>
      <w:marRight w:val="0"/>
      <w:marTop w:val="0"/>
      <w:marBottom w:val="0"/>
      <w:divBdr>
        <w:top w:val="none" w:sz="0" w:space="0" w:color="auto"/>
        <w:left w:val="none" w:sz="0" w:space="0" w:color="auto"/>
        <w:bottom w:val="none" w:sz="0" w:space="0" w:color="auto"/>
        <w:right w:val="none" w:sz="0" w:space="0" w:color="auto"/>
      </w:divBdr>
    </w:div>
    <w:div w:id="897280214">
      <w:bodyDiv w:val="1"/>
      <w:marLeft w:val="0"/>
      <w:marRight w:val="0"/>
      <w:marTop w:val="0"/>
      <w:marBottom w:val="0"/>
      <w:divBdr>
        <w:top w:val="none" w:sz="0" w:space="0" w:color="auto"/>
        <w:left w:val="none" w:sz="0" w:space="0" w:color="auto"/>
        <w:bottom w:val="none" w:sz="0" w:space="0" w:color="auto"/>
        <w:right w:val="none" w:sz="0" w:space="0" w:color="auto"/>
      </w:divBdr>
    </w:div>
    <w:div w:id="970018045">
      <w:bodyDiv w:val="1"/>
      <w:marLeft w:val="0"/>
      <w:marRight w:val="0"/>
      <w:marTop w:val="0"/>
      <w:marBottom w:val="0"/>
      <w:divBdr>
        <w:top w:val="none" w:sz="0" w:space="0" w:color="auto"/>
        <w:left w:val="none" w:sz="0" w:space="0" w:color="auto"/>
        <w:bottom w:val="none" w:sz="0" w:space="0" w:color="auto"/>
        <w:right w:val="none" w:sz="0" w:space="0" w:color="auto"/>
      </w:divBdr>
    </w:div>
    <w:div w:id="976494511">
      <w:bodyDiv w:val="1"/>
      <w:marLeft w:val="0"/>
      <w:marRight w:val="0"/>
      <w:marTop w:val="0"/>
      <w:marBottom w:val="0"/>
      <w:divBdr>
        <w:top w:val="none" w:sz="0" w:space="0" w:color="auto"/>
        <w:left w:val="none" w:sz="0" w:space="0" w:color="auto"/>
        <w:bottom w:val="none" w:sz="0" w:space="0" w:color="auto"/>
        <w:right w:val="none" w:sz="0" w:space="0" w:color="auto"/>
      </w:divBdr>
    </w:div>
    <w:div w:id="1099372343">
      <w:bodyDiv w:val="1"/>
      <w:marLeft w:val="0"/>
      <w:marRight w:val="0"/>
      <w:marTop w:val="0"/>
      <w:marBottom w:val="0"/>
      <w:divBdr>
        <w:top w:val="none" w:sz="0" w:space="0" w:color="auto"/>
        <w:left w:val="none" w:sz="0" w:space="0" w:color="auto"/>
        <w:bottom w:val="none" w:sz="0" w:space="0" w:color="auto"/>
        <w:right w:val="none" w:sz="0" w:space="0" w:color="auto"/>
      </w:divBdr>
    </w:div>
    <w:div w:id="1185940836">
      <w:bodyDiv w:val="1"/>
      <w:marLeft w:val="0"/>
      <w:marRight w:val="0"/>
      <w:marTop w:val="0"/>
      <w:marBottom w:val="0"/>
      <w:divBdr>
        <w:top w:val="none" w:sz="0" w:space="0" w:color="auto"/>
        <w:left w:val="none" w:sz="0" w:space="0" w:color="auto"/>
        <w:bottom w:val="none" w:sz="0" w:space="0" w:color="auto"/>
        <w:right w:val="none" w:sz="0" w:space="0" w:color="auto"/>
      </w:divBdr>
    </w:div>
    <w:div w:id="1189219244">
      <w:bodyDiv w:val="1"/>
      <w:marLeft w:val="0"/>
      <w:marRight w:val="0"/>
      <w:marTop w:val="0"/>
      <w:marBottom w:val="0"/>
      <w:divBdr>
        <w:top w:val="none" w:sz="0" w:space="0" w:color="auto"/>
        <w:left w:val="none" w:sz="0" w:space="0" w:color="auto"/>
        <w:bottom w:val="none" w:sz="0" w:space="0" w:color="auto"/>
        <w:right w:val="none" w:sz="0" w:space="0" w:color="auto"/>
      </w:divBdr>
    </w:div>
    <w:div w:id="1193690833">
      <w:bodyDiv w:val="1"/>
      <w:marLeft w:val="0"/>
      <w:marRight w:val="0"/>
      <w:marTop w:val="0"/>
      <w:marBottom w:val="0"/>
      <w:divBdr>
        <w:top w:val="none" w:sz="0" w:space="0" w:color="auto"/>
        <w:left w:val="none" w:sz="0" w:space="0" w:color="auto"/>
        <w:bottom w:val="none" w:sz="0" w:space="0" w:color="auto"/>
        <w:right w:val="none" w:sz="0" w:space="0" w:color="auto"/>
      </w:divBdr>
    </w:div>
    <w:div w:id="1195002505">
      <w:bodyDiv w:val="1"/>
      <w:marLeft w:val="0"/>
      <w:marRight w:val="0"/>
      <w:marTop w:val="0"/>
      <w:marBottom w:val="0"/>
      <w:divBdr>
        <w:top w:val="none" w:sz="0" w:space="0" w:color="auto"/>
        <w:left w:val="none" w:sz="0" w:space="0" w:color="auto"/>
        <w:bottom w:val="none" w:sz="0" w:space="0" w:color="auto"/>
        <w:right w:val="none" w:sz="0" w:space="0" w:color="auto"/>
      </w:divBdr>
    </w:div>
    <w:div w:id="1206059808">
      <w:bodyDiv w:val="1"/>
      <w:marLeft w:val="0"/>
      <w:marRight w:val="0"/>
      <w:marTop w:val="0"/>
      <w:marBottom w:val="0"/>
      <w:divBdr>
        <w:top w:val="none" w:sz="0" w:space="0" w:color="auto"/>
        <w:left w:val="none" w:sz="0" w:space="0" w:color="auto"/>
        <w:bottom w:val="none" w:sz="0" w:space="0" w:color="auto"/>
        <w:right w:val="none" w:sz="0" w:space="0" w:color="auto"/>
      </w:divBdr>
    </w:div>
    <w:div w:id="1294604291">
      <w:bodyDiv w:val="1"/>
      <w:marLeft w:val="0"/>
      <w:marRight w:val="0"/>
      <w:marTop w:val="0"/>
      <w:marBottom w:val="0"/>
      <w:divBdr>
        <w:top w:val="none" w:sz="0" w:space="0" w:color="auto"/>
        <w:left w:val="none" w:sz="0" w:space="0" w:color="auto"/>
        <w:bottom w:val="none" w:sz="0" w:space="0" w:color="auto"/>
        <w:right w:val="none" w:sz="0" w:space="0" w:color="auto"/>
      </w:divBdr>
    </w:div>
    <w:div w:id="1350177581">
      <w:bodyDiv w:val="1"/>
      <w:marLeft w:val="0"/>
      <w:marRight w:val="0"/>
      <w:marTop w:val="0"/>
      <w:marBottom w:val="0"/>
      <w:divBdr>
        <w:top w:val="none" w:sz="0" w:space="0" w:color="auto"/>
        <w:left w:val="none" w:sz="0" w:space="0" w:color="auto"/>
        <w:bottom w:val="none" w:sz="0" w:space="0" w:color="auto"/>
        <w:right w:val="none" w:sz="0" w:space="0" w:color="auto"/>
      </w:divBdr>
    </w:div>
    <w:div w:id="1385103814">
      <w:bodyDiv w:val="1"/>
      <w:marLeft w:val="0"/>
      <w:marRight w:val="0"/>
      <w:marTop w:val="0"/>
      <w:marBottom w:val="0"/>
      <w:divBdr>
        <w:top w:val="none" w:sz="0" w:space="0" w:color="auto"/>
        <w:left w:val="none" w:sz="0" w:space="0" w:color="auto"/>
        <w:bottom w:val="none" w:sz="0" w:space="0" w:color="auto"/>
        <w:right w:val="none" w:sz="0" w:space="0" w:color="auto"/>
      </w:divBdr>
    </w:div>
    <w:div w:id="1394350309">
      <w:bodyDiv w:val="1"/>
      <w:marLeft w:val="0"/>
      <w:marRight w:val="0"/>
      <w:marTop w:val="0"/>
      <w:marBottom w:val="0"/>
      <w:divBdr>
        <w:top w:val="none" w:sz="0" w:space="0" w:color="auto"/>
        <w:left w:val="none" w:sz="0" w:space="0" w:color="auto"/>
        <w:bottom w:val="none" w:sz="0" w:space="0" w:color="auto"/>
        <w:right w:val="none" w:sz="0" w:space="0" w:color="auto"/>
      </w:divBdr>
      <w:divsChild>
        <w:div w:id="539175031">
          <w:marLeft w:val="0"/>
          <w:marRight w:val="0"/>
          <w:marTop w:val="0"/>
          <w:marBottom w:val="0"/>
          <w:divBdr>
            <w:top w:val="none" w:sz="0" w:space="0" w:color="auto"/>
            <w:left w:val="none" w:sz="0" w:space="0" w:color="auto"/>
            <w:bottom w:val="none" w:sz="0" w:space="0" w:color="auto"/>
            <w:right w:val="none" w:sz="0" w:space="0" w:color="auto"/>
          </w:divBdr>
          <w:divsChild>
            <w:div w:id="1738943145">
              <w:marLeft w:val="0"/>
              <w:marRight w:val="0"/>
              <w:marTop w:val="0"/>
              <w:marBottom w:val="0"/>
              <w:divBdr>
                <w:top w:val="none" w:sz="0" w:space="0" w:color="auto"/>
                <w:left w:val="none" w:sz="0" w:space="0" w:color="auto"/>
                <w:bottom w:val="none" w:sz="0" w:space="0" w:color="auto"/>
                <w:right w:val="none" w:sz="0" w:space="0" w:color="auto"/>
              </w:divBdr>
              <w:divsChild>
                <w:div w:id="1776752317">
                  <w:marLeft w:val="0"/>
                  <w:marRight w:val="0"/>
                  <w:marTop w:val="0"/>
                  <w:marBottom w:val="0"/>
                  <w:divBdr>
                    <w:top w:val="none" w:sz="0" w:space="0" w:color="auto"/>
                    <w:left w:val="none" w:sz="0" w:space="0" w:color="auto"/>
                    <w:bottom w:val="none" w:sz="0" w:space="0" w:color="auto"/>
                    <w:right w:val="none" w:sz="0" w:space="0" w:color="auto"/>
                  </w:divBdr>
                  <w:divsChild>
                    <w:div w:id="956906384">
                      <w:marLeft w:val="0"/>
                      <w:marRight w:val="0"/>
                      <w:marTop w:val="0"/>
                      <w:marBottom w:val="0"/>
                      <w:divBdr>
                        <w:top w:val="none" w:sz="0" w:space="0" w:color="auto"/>
                        <w:left w:val="none" w:sz="0" w:space="0" w:color="auto"/>
                        <w:bottom w:val="none" w:sz="0" w:space="0" w:color="auto"/>
                        <w:right w:val="none" w:sz="0" w:space="0" w:color="auto"/>
                      </w:divBdr>
                      <w:divsChild>
                        <w:div w:id="466045955">
                          <w:marLeft w:val="0"/>
                          <w:marRight w:val="0"/>
                          <w:marTop w:val="0"/>
                          <w:marBottom w:val="0"/>
                          <w:divBdr>
                            <w:top w:val="none" w:sz="0" w:space="0" w:color="auto"/>
                            <w:left w:val="none" w:sz="0" w:space="0" w:color="auto"/>
                            <w:bottom w:val="none" w:sz="0" w:space="0" w:color="auto"/>
                            <w:right w:val="none" w:sz="0" w:space="0" w:color="auto"/>
                          </w:divBdr>
                          <w:divsChild>
                            <w:div w:id="163309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3549">
                      <w:marLeft w:val="0"/>
                      <w:marRight w:val="0"/>
                      <w:marTop w:val="0"/>
                      <w:marBottom w:val="0"/>
                      <w:divBdr>
                        <w:top w:val="none" w:sz="0" w:space="0" w:color="auto"/>
                        <w:left w:val="none" w:sz="0" w:space="0" w:color="auto"/>
                        <w:bottom w:val="none" w:sz="0" w:space="0" w:color="auto"/>
                        <w:right w:val="none" w:sz="0" w:space="0" w:color="auto"/>
                      </w:divBdr>
                    </w:div>
                    <w:div w:id="1375811927">
                      <w:marLeft w:val="0"/>
                      <w:marRight w:val="0"/>
                      <w:marTop w:val="0"/>
                      <w:marBottom w:val="0"/>
                      <w:divBdr>
                        <w:top w:val="none" w:sz="0" w:space="0" w:color="auto"/>
                        <w:left w:val="none" w:sz="0" w:space="0" w:color="auto"/>
                        <w:bottom w:val="none" w:sz="0" w:space="0" w:color="auto"/>
                        <w:right w:val="none" w:sz="0" w:space="0" w:color="auto"/>
                      </w:divBdr>
                      <w:divsChild>
                        <w:div w:id="566383374">
                          <w:marLeft w:val="0"/>
                          <w:marRight w:val="0"/>
                          <w:marTop w:val="0"/>
                          <w:marBottom w:val="0"/>
                          <w:divBdr>
                            <w:top w:val="none" w:sz="0" w:space="0" w:color="auto"/>
                            <w:left w:val="none" w:sz="0" w:space="0" w:color="auto"/>
                            <w:bottom w:val="none" w:sz="0" w:space="0" w:color="auto"/>
                            <w:right w:val="none" w:sz="0" w:space="0" w:color="auto"/>
                          </w:divBdr>
                          <w:divsChild>
                            <w:div w:id="25004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8971217">
          <w:marLeft w:val="0"/>
          <w:marRight w:val="0"/>
          <w:marTop w:val="0"/>
          <w:marBottom w:val="0"/>
          <w:divBdr>
            <w:top w:val="none" w:sz="0" w:space="0" w:color="auto"/>
            <w:left w:val="none" w:sz="0" w:space="0" w:color="auto"/>
            <w:bottom w:val="none" w:sz="0" w:space="0" w:color="auto"/>
            <w:right w:val="none" w:sz="0" w:space="0" w:color="auto"/>
          </w:divBdr>
          <w:divsChild>
            <w:div w:id="210071729">
              <w:marLeft w:val="0"/>
              <w:marRight w:val="0"/>
              <w:marTop w:val="0"/>
              <w:marBottom w:val="0"/>
              <w:divBdr>
                <w:top w:val="none" w:sz="0" w:space="0" w:color="auto"/>
                <w:left w:val="none" w:sz="0" w:space="0" w:color="auto"/>
                <w:bottom w:val="none" w:sz="0" w:space="0" w:color="auto"/>
                <w:right w:val="none" w:sz="0" w:space="0" w:color="auto"/>
              </w:divBdr>
              <w:divsChild>
                <w:div w:id="1052652131">
                  <w:marLeft w:val="0"/>
                  <w:marRight w:val="0"/>
                  <w:marTop w:val="0"/>
                  <w:marBottom w:val="0"/>
                  <w:divBdr>
                    <w:top w:val="none" w:sz="0" w:space="0" w:color="auto"/>
                    <w:left w:val="none" w:sz="0" w:space="0" w:color="auto"/>
                    <w:bottom w:val="none" w:sz="0" w:space="0" w:color="auto"/>
                    <w:right w:val="none" w:sz="0" w:space="0" w:color="auto"/>
                  </w:divBdr>
                  <w:divsChild>
                    <w:div w:id="2125223073">
                      <w:marLeft w:val="0"/>
                      <w:marRight w:val="0"/>
                      <w:marTop w:val="0"/>
                      <w:marBottom w:val="0"/>
                      <w:divBdr>
                        <w:top w:val="none" w:sz="0" w:space="0" w:color="auto"/>
                        <w:left w:val="none" w:sz="0" w:space="0" w:color="auto"/>
                        <w:bottom w:val="none" w:sz="0" w:space="0" w:color="auto"/>
                        <w:right w:val="none" w:sz="0" w:space="0" w:color="auto"/>
                      </w:divBdr>
                      <w:divsChild>
                        <w:div w:id="205802528">
                          <w:marLeft w:val="0"/>
                          <w:marRight w:val="0"/>
                          <w:marTop w:val="0"/>
                          <w:marBottom w:val="0"/>
                          <w:divBdr>
                            <w:top w:val="none" w:sz="0" w:space="0" w:color="auto"/>
                            <w:left w:val="none" w:sz="0" w:space="0" w:color="auto"/>
                            <w:bottom w:val="none" w:sz="0" w:space="0" w:color="auto"/>
                            <w:right w:val="none" w:sz="0" w:space="0" w:color="auto"/>
                          </w:divBdr>
                          <w:divsChild>
                            <w:div w:id="1921400550">
                              <w:marLeft w:val="0"/>
                              <w:marRight w:val="0"/>
                              <w:marTop w:val="0"/>
                              <w:marBottom w:val="0"/>
                              <w:divBdr>
                                <w:top w:val="none" w:sz="0" w:space="0" w:color="auto"/>
                                <w:left w:val="none" w:sz="0" w:space="0" w:color="auto"/>
                                <w:bottom w:val="none" w:sz="0" w:space="0" w:color="auto"/>
                                <w:right w:val="none" w:sz="0" w:space="0" w:color="auto"/>
                              </w:divBdr>
                              <w:divsChild>
                                <w:div w:id="58596316">
                                  <w:marLeft w:val="0"/>
                                  <w:marRight w:val="0"/>
                                  <w:marTop w:val="0"/>
                                  <w:marBottom w:val="0"/>
                                  <w:divBdr>
                                    <w:top w:val="none" w:sz="0" w:space="0" w:color="auto"/>
                                    <w:left w:val="none" w:sz="0" w:space="0" w:color="auto"/>
                                    <w:bottom w:val="none" w:sz="0" w:space="0" w:color="auto"/>
                                    <w:right w:val="none" w:sz="0" w:space="0" w:color="auto"/>
                                  </w:divBdr>
                                </w:div>
                                <w:div w:id="173685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215287">
      <w:bodyDiv w:val="1"/>
      <w:marLeft w:val="0"/>
      <w:marRight w:val="0"/>
      <w:marTop w:val="0"/>
      <w:marBottom w:val="0"/>
      <w:divBdr>
        <w:top w:val="none" w:sz="0" w:space="0" w:color="auto"/>
        <w:left w:val="none" w:sz="0" w:space="0" w:color="auto"/>
        <w:bottom w:val="none" w:sz="0" w:space="0" w:color="auto"/>
        <w:right w:val="none" w:sz="0" w:space="0" w:color="auto"/>
      </w:divBdr>
    </w:div>
    <w:div w:id="1428230879">
      <w:bodyDiv w:val="1"/>
      <w:marLeft w:val="0"/>
      <w:marRight w:val="0"/>
      <w:marTop w:val="0"/>
      <w:marBottom w:val="0"/>
      <w:divBdr>
        <w:top w:val="none" w:sz="0" w:space="0" w:color="auto"/>
        <w:left w:val="none" w:sz="0" w:space="0" w:color="auto"/>
        <w:bottom w:val="none" w:sz="0" w:space="0" w:color="auto"/>
        <w:right w:val="none" w:sz="0" w:space="0" w:color="auto"/>
      </w:divBdr>
    </w:div>
    <w:div w:id="1481270942">
      <w:bodyDiv w:val="1"/>
      <w:marLeft w:val="0"/>
      <w:marRight w:val="0"/>
      <w:marTop w:val="0"/>
      <w:marBottom w:val="0"/>
      <w:divBdr>
        <w:top w:val="none" w:sz="0" w:space="0" w:color="auto"/>
        <w:left w:val="none" w:sz="0" w:space="0" w:color="auto"/>
        <w:bottom w:val="none" w:sz="0" w:space="0" w:color="auto"/>
        <w:right w:val="none" w:sz="0" w:space="0" w:color="auto"/>
      </w:divBdr>
    </w:div>
    <w:div w:id="1580091944">
      <w:bodyDiv w:val="1"/>
      <w:marLeft w:val="0"/>
      <w:marRight w:val="0"/>
      <w:marTop w:val="0"/>
      <w:marBottom w:val="0"/>
      <w:divBdr>
        <w:top w:val="none" w:sz="0" w:space="0" w:color="auto"/>
        <w:left w:val="none" w:sz="0" w:space="0" w:color="auto"/>
        <w:bottom w:val="none" w:sz="0" w:space="0" w:color="auto"/>
        <w:right w:val="none" w:sz="0" w:space="0" w:color="auto"/>
      </w:divBdr>
    </w:div>
    <w:div w:id="1637446198">
      <w:bodyDiv w:val="1"/>
      <w:marLeft w:val="0"/>
      <w:marRight w:val="0"/>
      <w:marTop w:val="0"/>
      <w:marBottom w:val="0"/>
      <w:divBdr>
        <w:top w:val="none" w:sz="0" w:space="0" w:color="auto"/>
        <w:left w:val="none" w:sz="0" w:space="0" w:color="auto"/>
        <w:bottom w:val="none" w:sz="0" w:space="0" w:color="auto"/>
        <w:right w:val="none" w:sz="0" w:space="0" w:color="auto"/>
      </w:divBdr>
      <w:divsChild>
        <w:div w:id="1213087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6397147">
      <w:bodyDiv w:val="1"/>
      <w:marLeft w:val="0"/>
      <w:marRight w:val="0"/>
      <w:marTop w:val="0"/>
      <w:marBottom w:val="0"/>
      <w:divBdr>
        <w:top w:val="none" w:sz="0" w:space="0" w:color="auto"/>
        <w:left w:val="none" w:sz="0" w:space="0" w:color="auto"/>
        <w:bottom w:val="none" w:sz="0" w:space="0" w:color="auto"/>
        <w:right w:val="none" w:sz="0" w:space="0" w:color="auto"/>
      </w:divBdr>
    </w:div>
    <w:div w:id="1727606354">
      <w:bodyDiv w:val="1"/>
      <w:marLeft w:val="0"/>
      <w:marRight w:val="0"/>
      <w:marTop w:val="0"/>
      <w:marBottom w:val="0"/>
      <w:divBdr>
        <w:top w:val="none" w:sz="0" w:space="0" w:color="auto"/>
        <w:left w:val="none" w:sz="0" w:space="0" w:color="auto"/>
        <w:bottom w:val="none" w:sz="0" w:space="0" w:color="auto"/>
        <w:right w:val="none" w:sz="0" w:space="0" w:color="auto"/>
      </w:divBdr>
    </w:div>
    <w:div w:id="1813213771">
      <w:bodyDiv w:val="1"/>
      <w:marLeft w:val="0"/>
      <w:marRight w:val="0"/>
      <w:marTop w:val="0"/>
      <w:marBottom w:val="0"/>
      <w:divBdr>
        <w:top w:val="none" w:sz="0" w:space="0" w:color="auto"/>
        <w:left w:val="none" w:sz="0" w:space="0" w:color="auto"/>
        <w:bottom w:val="none" w:sz="0" w:space="0" w:color="auto"/>
        <w:right w:val="none" w:sz="0" w:space="0" w:color="auto"/>
      </w:divBdr>
    </w:div>
    <w:div w:id="1813979744">
      <w:bodyDiv w:val="1"/>
      <w:marLeft w:val="0"/>
      <w:marRight w:val="0"/>
      <w:marTop w:val="0"/>
      <w:marBottom w:val="0"/>
      <w:divBdr>
        <w:top w:val="none" w:sz="0" w:space="0" w:color="auto"/>
        <w:left w:val="none" w:sz="0" w:space="0" w:color="auto"/>
        <w:bottom w:val="none" w:sz="0" w:space="0" w:color="auto"/>
        <w:right w:val="none" w:sz="0" w:space="0" w:color="auto"/>
      </w:divBdr>
    </w:div>
    <w:div w:id="1875730808">
      <w:bodyDiv w:val="1"/>
      <w:marLeft w:val="0"/>
      <w:marRight w:val="0"/>
      <w:marTop w:val="0"/>
      <w:marBottom w:val="0"/>
      <w:divBdr>
        <w:top w:val="none" w:sz="0" w:space="0" w:color="auto"/>
        <w:left w:val="none" w:sz="0" w:space="0" w:color="auto"/>
        <w:bottom w:val="none" w:sz="0" w:space="0" w:color="auto"/>
        <w:right w:val="none" w:sz="0" w:space="0" w:color="auto"/>
      </w:divBdr>
    </w:div>
    <w:div w:id="2040423021">
      <w:bodyDiv w:val="1"/>
      <w:marLeft w:val="0"/>
      <w:marRight w:val="0"/>
      <w:marTop w:val="0"/>
      <w:marBottom w:val="0"/>
      <w:divBdr>
        <w:top w:val="none" w:sz="0" w:space="0" w:color="auto"/>
        <w:left w:val="none" w:sz="0" w:space="0" w:color="auto"/>
        <w:bottom w:val="none" w:sz="0" w:space="0" w:color="auto"/>
        <w:right w:val="none" w:sz="0" w:space="0" w:color="auto"/>
      </w:divBdr>
    </w:div>
    <w:div w:id="21364820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culture.ec.europa.eu/cultural-heritage/initiatives-and-success-stories/european-heritage-label/european-heritage-label-sites/the-historic-gdansk-shipyard-po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94B26-443C-46D8-BD09-F421736F3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3519</Words>
  <Characters>21083</Characters>
  <Application>Microsoft Office Word</Application>
  <DocSecurity>0</DocSecurity>
  <Lines>292</Lines>
  <Paragraphs>69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Zitelli Conti</dc:creator>
  <cp:lastModifiedBy>Maddalena Valacchi</cp:lastModifiedBy>
  <cp:revision>10</cp:revision>
  <dcterms:created xsi:type="dcterms:W3CDTF">2025-04-15T13:04:00Z</dcterms:created>
  <dcterms:modified xsi:type="dcterms:W3CDTF">2025-04-15T13:13:00Z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2024-11-19T00:00:00Z</vt:filetime>
  </property>
  <property fmtid="{D5CDD505-2E9C-101B-9397-08002B2CF9AE}" pid="3" name="Creator">
    <vt:lpwstr>Microsoft® Word per Microsoft 365</vt:lpwstr>
  </property>
  <property fmtid="{D5CDD505-2E9C-101B-9397-08002B2CF9AE}" pid="4" name="LastSaved">
    <vt:filetime>2025-03-24T00:00:00Z</vt:filetime>
  </property>
  <property fmtid="{D5CDD505-2E9C-101B-9397-08002B2CF9AE}" pid="5" name="Producer">
    <vt:lpwstr>Microsoft® Word per Microsoft 365</vt:lpwstr>
  </property>
  <property fmtid="{D5CDD505-2E9C-101B-9397-08002B2CF9AE}" pid="6" name="GrammarlyDocumentId">
    <vt:lpwstr>440d00620772641cfa9470a2997dac24fb2f01ebaf7e3cd66e1ea1b277c463ca</vt:lpwstr>
  </property>
</Properties>
</file>